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ascii="宋体" w:hAnsi="宋体" w:eastAsia="宋体" w:cs="宋体"/>
          <w:kern w:val="0"/>
          <w:szCs w:val="21"/>
        </w:rPr>
      </w:pPr>
    </w:p>
    <w:p>
      <w:pPr>
        <w:widowControl/>
        <w:spacing w:before="100" w:beforeAutospacing="1" w:after="100" w:afterAutospacing="1"/>
        <w:jc w:val="center"/>
        <w:rPr>
          <w:rFonts w:ascii="宋体" w:hAnsi="宋体" w:eastAsia="宋体" w:cs="宋体"/>
          <w:kern w:val="0"/>
          <w:szCs w:val="21"/>
        </w:rPr>
      </w:pPr>
      <w:r>
        <w:rPr>
          <w:rFonts w:ascii="宋体" w:hAnsi="宋体" w:eastAsia="宋体" w:cs="宋体"/>
          <w:kern w:val="0"/>
          <w:szCs w:val="21"/>
        </w:rPr>
        <w:t>　</w:t>
      </w:r>
      <w:r>
        <w:rPr>
          <w:rFonts w:ascii="宋体" w:hAnsi="宋体" w:eastAsia="宋体" w:cs="宋体"/>
          <w:b/>
          <w:bCs/>
          <w:kern w:val="0"/>
        </w:rPr>
        <w:t>　排污费征收标准及计算方法</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一、污水排污费征收标准及计算方法</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(一)污水排污费按排污者排放污染物的种类、数量以污染当量计征，每一污染当量征收标准为0.7元。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对每一排放口征收污水排污费的污染物种类数，以污染当量数从多到少的顺序,最多不超过3项。其中，超过国家或地方规定的污染物排放标准的，按照排放污染物的种类、数量和本办法规定的收费标准计征污水排污费的收费额加一倍征收超标准排污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对于冷却水、矿井水等排放污染物的污染当量数计算，应扣除进水的本底值。</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(三)、水污染物污染当量数计算</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1、一般污染物的污染当量数计算</w:t>
      </w:r>
    </w:p>
    <w:tbl>
      <w:tblPr>
        <w:tblStyle w:val="3"/>
        <w:tblW w:w="7963" w:type="dxa"/>
        <w:tblInd w:w="425" w:type="dxa"/>
        <w:tblLayout w:type="fixed"/>
        <w:tblCellMar>
          <w:top w:w="0" w:type="dxa"/>
          <w:left w:w="108" w:type="dxa"/>
          <w:bottom w:w="0" w:type="dxa"/>
          <w:right w:w="108" w:type="dxa"/>
        </w:tblCellMar>
      </w:tblPr>
      <w:tblGrid>
        <w:gridCol w:w="3643"/>
        <w:gridCol w:w="4320"/>
      </w:tblGrid>
      <w:tr>
        <w:tblPrEx>
          <w:tblLayout w:type="fixed"/>
          <w:tblCellMar>
            <w:top w:w="0" w:type="dxa"/>
            <w:left w:w="108" w:type="dxa"/>
            <w:bottom w:w="0" w:type="dxa"/>
            <w:right w:w="108" w:type="dxa"/>
          </w:tblCellMar>
        </w:tblPrEx>
        <w:trPr>
          <w:trHeight w:val="180" w:hRule="atLeast"/>
        </w:trPr>
        <w:tc>
          <w:tcPr>
            <w:tcW w:w="3643" w:type="dxa"/>
            <w:vMerge w:val="restart"/>
            <w:tcBorders>
              <w:top w:val="nil"/>
              <w:left w:val="nil"/>
              <w:bottom w:val="nil"/>
              <w:right w:val="nil"/>
            </w:tcBorders>
            <w:shd w:val="clear" w:color="auto" w:fill="auto"/>
            <w:vAlign w:val="center"/>
          </w:tcPr>
          <w:p>
            <w:pPr>
              <w:widowControl/>
              <w:spacing w:line="18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某污染物的污染当量数＝</w:t>
            </w:r>
          </w:p>
        </w:tc>
        <w:tc>
          <w:tcPr>
            <w:tcW w:w="4320" w:type="dxa"/>
            <w:tcBorders>
              <w:top w:val="nil"/>
              <w:left w:val="nil"/>
              <w:bottom w:val="single" w:color="auto" w:sz="4" w:space="0"/>
              <w:right w:val="nil"/>
            </w:tcBorders>
            <w:shd w:val="clear" w:color="auto" w:fill="auto"/>
            <w:vAlign w:val="center"/>
          </w:tcPr>
          <w:p>
            <w:pPr>
              <w:widowControl/>
              <w:spacing w:line="18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该污染物的排放量（千克）</w:t>
            </w:r>
          </w:p>
        </w:tc>
      </w:tr>
      <w:tr>
        <w:tblPrEx>
          <w:tblLayout w:type="fixed"/>
          <w:tblCellMar>
            <w:top w:w="0" w:type="dxa"/>
            <w:left w:w="108" w:type="dxa"/>
            <w:bottom w:w="0" w:type="dxa"/>
            <w:right w:w="108" w:type="dxa"/>
          </w:tblCellMar>
        </w:tblPrEx>
        <w:trPr>
          <w:trHeight w:val="180" w:hRule="atLeast"/>
        </w:trPr>
        <w:tc>
          <w:tcPr>
            <w:tcW w:w="3643" w:type="dxa"/>
            <w:vMerge w:val="continue"/>
            <w:tcBorders>
              <w:top w:val="nil"/>
              <w:left w:val="nil"/>
              <w:bottom w:val="nil"/>
              <w:right w:val="nil"/>
            </w:tcBorders>
            <w:vAlign w:val="center"/>
          </w:tcPr>
          <w:p>
            <w:pPr>
              <w:widowControl/>
              <w:jc w:val="left"/>
              <w:rPr>
                <w:rFonts w:ascii="宋体" w:hAnsi="宋体" w:eastAsia="宋体" w:cs="宋体"/>
                <w:kern w:val="0"/>
                <w:sz w:val="24"/>
                <w:szCs w:val="24"/>
              </w:rPr>
            </w:pPr>
          </w:p>
        </w:tc>
        <w:tc>
          <w:tcPr>
            <w:tcW w:w="4320" w:type="dxa"/>
            <w:tcBorders>
              <w:top w:val="single" w:color="auto" w:sz="4" w:space="0"/>
              <w:left w:val="nil"/>
              <w:bottom w:val="nil"/>
              <w:right w:val="nil"/>
            </w:tcBorders>
            <w:shd w:val="clear" w:color="auto" w:fill="auto"/>
            <w:vAlign w:val="center"/>
          </w:tcPr>
          <w:p>
            <w:pPr>
              <w:widowControl/>
              <w:spacing w:line="18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该污染物的污染当量值（千克）</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一般污染物的污染当量值见表1和表2。</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2、PH值、大肠菌群数、余氯量的污染当量数计算</w:t>
      </w:r>
    </w:p>
    <w:tbl>
      <w:tblPr>
        <w:tblStyle w:val="3"/>
        <w:tblW w:w="7920" w:type="dxa"/>
        <w:tblInd w:w="468" w:type="dxa"/>
        <w:tblLayout w:type="fixed"/>
        <w:tblCellMar>
          <w:top w:w="0" w:type="dxa"/>
          <w:left w:w="108" w:type="dxa"/>
          <w:bottom w:w="0" w:type="dxa"/>
          <w:right w:w="108" w:type="dxa"/>
        </w:tblCellMar>
      </w:tblPr>
      <w:tblGrid>
        <w:gridCol w:w="3600"/>
        <w:gridCol w:w="4320"/>
      </w:tblGrid>
      <w:tr>
        <w:tblPrEx>
          <w:tblLayout w:type="fixed"/>
          <w:tblCellMar>
            <w:top w:w="0" w:type="dxa"/>
            <w:left w:w="108" w:type="dxa"/>
            <w:bottom w:w="0" w:type="dxa"/>
            <w:right w:w="108" w:type="dxa"/>
          </w:tblCellMar>
        </w:tblPrEx>
        <w:tc>
          <w:tcPr>
            <w:tcW w:w="3600" w:type="dxa"/>
            <w:vMerge w:val="restart"/>
            <w:tcBorders>
              <w:top w:val="nil"/>
              <w:left w:val="nil"/>
              <w:bottom w:val="nil"/>
              <w:right w:val="nil"/>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某污染物的污染当量数＝</w:t>
            </w:r>
          </w:p>
        </w:tc>
        <w:tc>
          <w:tcPr>
            <w:tcW w:w="4320"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污水排放量（吨）</w:t>
            </w:r>
          </w:p>
        </w:tc>
      </w:tr>
      <w:tr>
        <w:tblPrEx>
          <w:tblLayout w:type="fixed"/>
          <w:tblCellMar>
            <w:top w:w="0" w:type="dxa"/>
            <w:left w:w="108" w:type="dxa"/>
            <w:bottom w:w="0" w:type="dxa"/>
            <w:right w:w="108" w:type="dxa"/>
          </w:tblCellMar>
        </w:tblPrEx>
        <w:tc>
          <w:tcPr>
            <w:tcW w:w="3600" w:type="dxa"/>
            <w:vMerge w:val="continue"/>
            <w:tcBorders>
              <w:top w:val="nil"/>
              <w:left w:val="nil"/>
              <w:bottom w:val="nil"/>
              <w:right w:val="nil"/>
            </w:tcBorders>
            <w:vAlign w:val="center"/>
          </w:tcPr>
          <w:p>
            <w:pPr>
              <w:widowControl/>
              <w:jc w:val="left"/>
              <w:rPr>
                <w:rFonts w:ascii="宋体" w:hAnsi="宋体" w:eastAsia="宋体" w:cs="宋体"/>
                <w:kern w:val="0"/>
                <w:sz w:val="24"/>
                <w:szCs w:val="24"/>
              </w:rPr>
            </w:pPr>
          </w:p>
        </w:tc>
        <w:tc>
          <w:tcPr>
            <w:tcW w:w="4320" w:type="dxa"/>
            <w:tcBorders>
              <w:top w:val="single" w:color="auto" w:sz="4" w:space="0"/>
              <w:left w:val="nil"/>
              <w:bottom w:val="nil"/>
              <w:right w:val="nil"/>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该污染物的污染当量值（吨）</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3、色度的污染当量数计算</w:t>
      </w:r>
    </w:p>
    <w:tbl>
      <w:tblPr>
        <w:tblStyle w:val="3"/>
        <w:tblW w:w="8100" w:type="dxa"/>
        <w:tblInd w:w="468" w:type="dxa"/>
        <w:tblLayout w:type="fixed"/>
        <w:tblCellMar>
          <w:top w:w="0" w:type="dxa"/>
          <w:left w:w="108" w:type="dxa"/>
          <w:bottom w:w="0" w:type="dxa"/>
          <w:right w:w="108" w:type="dxa"/>
        </w:tblCellMar>
      </w:tblPr>
      <w:tblGrid>
        <w:gridCol w:w="3600"/>
        <w:gridCol w:w="4500"/>
      </w:tblGrid>
      <w:tr>
        <w:tblPrEx>
          <w:tblLayout w:type="fixed"/>
          <w:tblCellMar>
            <w:top w:w="0" w:type="dxa"/>
            <w:left w:w="108" w:type="dxa"/>
            <w:bottom w:w="0" w:type="dxa"/>
            <w:right w:w="108" w:type="dxa"/>
          </w:tblCellMar>
        </w:tblPrEx>
        <w:tc>
          <w:tcPr>
            <w:tcW w:w="3600" w:type="dxa"/>
            <w:vMerge w:val="restart"/>
            <w:tcBorders>
              <w:top w:val="nil"/>
              <w:left w:val="nil"/>
              <w:bottom w:val="nil"/>
              <w:right w:val="nil"/>
            </w:tcBorders>
            <w:shd w:val="clear" w:color="auto" w:fill="auto"/>
            <w:vAlign w:val="center"/>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色度的污染当量数＝</w:t>
            </w:r>
          </w:p>
        </w:tc>
        <w:tc>
          <w:tcPr>
            <w:tcW w:w="4500"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8"/>
                <w:szCs w:val="28"/>
              </w:rPr>
              <w:t>污水排放量（吨）</w:t>
            </w:r>
            <w:r>
              <w:rPr>
                <w:rFonts w:hint="eastAsia" w:ascii="宋体" w:hAnsi="宋体" w:eastAsia="宋体" w:cs="宋体"/>
                <w:kern w:val="0"/>
                <w:sz w:val="28"/>
                <w:szCs w:val="28"/>
              </w:rPr>
              <w:t>×</w:t>
            </w:r>
            <w:r>
              <w:rPr>
                <w:rFonts w:hint="eastAsia" w:ascii="仿宋_GB2312" w:hAnsi="宋体" w:eastAsia="仿宋_GB2312" w:cs="宋体"/>
                <w:kern w:val="0"/>
                <w:sz w:val="28"/>
                <w:szCs w:val="28"/>
              </w:rPr>
              <w:t>色度超标倍数</w:t>
            </w:r>
          </w:p>
        </w:tc>
      </w:tr>
      <w:tr>
        <w:tblPrEx>
          <w:tblLayout w:type="fixed"/>
          <w:tblCellMar>
            <w:top w:w="0" w:type="dxa"/>
            <w:left w:w="108" w:type="dxa"/>
            <w:bottom w:w="0" w:type="dxa"/>
            <w:right w:w="108" w:type="dxa"/>
          </w:tblCellMar>
        </w:tblPrEx>
        <w:tc>
          <w:tcPr>
            <w:tcW w:w="3600" w:type="dxa"/>
            <w:vMerge w:val="continue"/>
            <w:tcBorders>
              <w:top w:val="nil"/>
              <w:left w:val="nil"/>
              <w:bottom w:val="nil"/>
              <w:right w:val="nil"/>
            </w:tcBorders>
            <w:vAlign w:val="center"/>
          </w:tcPr>
          <w:p>
            <w:pPr>
              <w:widowControl/>
              <w:jc w:val="left"/>
              <w:rPr>
                <w:rFonts w:ascii="宋体" w:hAnsi="宋体" w:eastAsia="宋体" w:cs="宋体"/>
                <w:kern w:val="0"/>
                <w:sz w:val="24"/>
                <w:szCs w:val="24"/>
              </w:rPr>
            </w:pPr>
          </w:p>
        </w:tc>
        <w:tc>
          <w:tcPr>
            <w:tcW w:w="4500" w:type="dxa"/>
            <w:tcBorders>
              <w:top w:val="single" w:color="auto" w:sz="4" w:space="0"/>
              <w:left w:val="nil"/>
              <w:bottom w:val="nil"/>
              <w:right w:val="nil"/>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色度的污染当量值（吨·倍）</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PH值、色度、大肠菌群数、余氯量的污染当量值见表3。</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PH值、色度、大肠菌群数、余氯量不加倍收费。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4、禽畜养殖业、小型企业和第三产业的污染当量数计算</w:t>
      </w:r>
    </w:p>
    <w:tbl>
      <w:tblPr>
        <w:tblStyle w:val="3"/>
        <w:tblW w:w="6840" w:type="dxa"/>
        <w:tblInd w:w="468" w:type="dxa"/>
        <w:tblLayout w:type="fixed"/>
        <w:tblCellMar>
          <w:top w:w="0" w:type="dxa"/>
          <w:left w:w="108" w:type="dxa"/>
          <w:bottom w:w="0" w:type="dxa"/>
          <w:right w:w="108" w:type="dxa"/>
        </w:tblCellMar>
      </w:tblPr>
      <w:tblGrid>
        <w:gridCol w:w="3600"/>
        <w:gridCol w:w="3240"/>
      </w:tblGrid>
      <w:tr>
        <w:tblPrEx>
          <w:tblLayout w:type="fixed"/>
          <w:tblCellMar>
            <w:top w:w="0" w:type="dxa"/>
            <w:left w:w="108" w:type="dxa"/>
            <w:bottom w:w="0" w:type="dxa"/>
            <w:right w:w="108" w:type="dxa"/>
          </w:tblCellMar>
        </w:tblPrEx>
        <w:tc>
          <w:tcPr>
            <w:tcW w:w="3600" w:type="dxa"/>
            <w:vMerge w:val="restart"/>
            <w:tcBorders>
              <w:top w:val="nil"/>
              <w:left w:val="nil"/>
              <w:bottom w:val="nil"/>
              <w:right w:val="nil"/>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污染当量数＝</w:t>
            </w:r>
          </w:p>
        </w:tc>
        <w:tc>
          <w:tcPr>
            <w:tcW w:w="3240" w:type="dxa"/>
            <w:tcBorders>
              <w:top w:val="nil"/>
              <w:left w:val="nil"/>
              <w:bottom w:val="single" w:color="auto" w:sz="4" w:space="0"/>
              <w:right w:val="nil"/>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污染排放特征值</w:t>
            </w:r>
          </w:p>
        </w:tc>
      </w:tr>
      <w:tr>
        <w:tblPrEx>
          <w:tblLayout w:type="fixed"/>
          <w:tblCellMar>
            <w:top w:w="0" w:type="dxa"/>
            <w:left w:w="108" w:type="dxa"/>
            <w:bottom w:w="0" w:type="dxa"/>
            <w:right w:w="108" w:type="dxa"/>
          </w:tblCellMar>
        </w:tblPrEx>
        <w:tc>
          <w:tcPr>
            <w:tcW w:w="3600" w:type="dxa"/>
            <w:vMerge w:val="continue"/>
            <w:tcBorders>
              <w:top w:val="nil"/>
              <w:left w:val="nil"/>
              <w:bottom w:val="nil"/>
              <w:right w:val="nil"/>
            </w:tcBorders>
            <w:vAlign w:val="center"/>
          </w:tcPr>
          <w:p>
            <w:pPr>
              <w:widowControl/>
              <w:jc w:val="left"/>
              <w:rPr>
                <w:rFonts w:ascii="宋体" w:hAnsi="宋体" w:eastAsia="宋体" w:cs="宋体"/>
                <w:kern w:val="0"/>
                <w:sz w:val="24"/>
                <w:szCs w:val="24"/>
              </w:rPr>
            </w:pPr>
          </w:p>
        </w:tc>
        <w:tc>
          <w:tcPr>
            <w:tcW w:w="3240" w:type="dxa"/>
            <w:tcBorders>
              <w:top w:val="single" w:color="auto" w:sz="4" w:space="0"/>
              <w:left w:val="nil"/>
              <w:bottom w:val="nil"/>
              <w:right w:val="nil"/>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污染当量值</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禽畜养殖业、小型企业和第三产业的污染当量值见表4。</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(四)排污费计算</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1、污水排污费收费额=0.7元×前3项污染物的污染当量数之和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2、对超过国家或者地方规定排放标准的污染物，应在该种污染物排污费收费额基础上加1倍征收超标准排污费。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rPr>
        <w:t>　　表1 第一类水污染物污染当量值</w:t>
      </w:r>
    </w:p>
    <w:tbl>
      <w:tblPr>
        <w:tblStyle w:val="3"/>
        <w:tblW w:w="8280"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04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污染物</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污染当量值(千克)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总汞</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总镉</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总铬</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六价铬</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总砷</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6.</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总铅</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7.</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总镍</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8.</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苯并(a)芘</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0.0000003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9.</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总铍</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10.</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总银</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rPr>
        <w:t>　　表2 第二类水污染物污染当量值</w:t>
      </w:r>
    </w:p>
    <w:tbl>
      <w:tblPr>
        <w:tblStyle w:val="3"/>
        <w:tblW w:w="8280"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04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污染物</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污染当量值(千克)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悬浮物(SS)</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生化需氧量(BOD</w:t>
            </w:r>
            <w:r>
              <w:rPr>
                <w:rFonts w:hint="eastAsia" w:ascii="仿宋_GB2312" w:hAnsi="宋体" w:eastAsia="仿宋_GB2312" w:cs="宋体"/>
                <w:kern w:val="0"/>
                <w:sz w:val="28"/>
                <w:szCs w:val="28"/>
                <w:vertAlign w:val="subscript"/>
              </w:rPr>
              <w:t>5</w:t>
            </w:r>
            <w:r>
              <w:rPr>
                <w:rFonts w:hint="eastAsia" w:ascii="仿宋_GB2312" w:hAnsi="宋体" w:eastAsia="仿宋_GB2312" w:cs="宋体"/>
                <w:kern w:val="0"/>
                <w:sz w:val="28"/>
                <w:szCs w:val="28"/>
              </w:rPr>
              <w:t>)</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wordWrap w:val="0"/>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化学需氧量(COD)</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wordWrap w:val="0"/>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14.</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总有机碳（TOC）</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15.</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石油类</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16.</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动植物油</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17.</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挥发酚</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18.</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总氰化物</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19.</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硫化物</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20.</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氨氮</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氟化物</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甲醛</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苯胺类</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24.</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硝基苯类</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25.</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阴离子表面活性剂(LAS)</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26.</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总铜</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27.</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总锌</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28.</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总锰</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29.</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彩色显影剂(CD-2)</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30.</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总磷</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元素磷(以P计)</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有机磷农药(以P计)</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乐果</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34.</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甲基对硫磷</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35.</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马拉硫磷</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36.</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对硫磷</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37.</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五氯酚及五氯酚钠(以五氯酚计)</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38.</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三氯甲烷</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39.</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可吸附有机卤化物(AOX)(以Cl计)</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40.</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四氯化碳</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三氯乙烯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四氯乙烯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44.</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甲苯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45.</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乙苯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46.</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邻－二甲苯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47.</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对－二甲苯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48.</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间－二甲苯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49.</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氯苯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50.</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邻二氯苯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对二氯苯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对硝基氯苯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2.4－二硝基氯苯</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54.</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苯酚</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55.</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间－甲酚</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56.</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2.4－二氯酚</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57.</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2.4.6-三氯酚</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58.</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邻苯二甲酸二丁脂</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59.</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邻苯二甲酸二辛脂</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60.</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丙烯腈</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5040" w:type="dxa"/>
            <w:tcBorders>
              <w:top w:val="single" w:color="auto" w:sz="4" w:space="0"/>
              <w:left w:val="single" w:color="auto" w:sz="4" w:space="0"/>
              <w:bottom w:val="single" w:color="auto" w:sz="4" w:space="0"/>
              <w:right w:val="single" w:color="auto" w:sz="4" w:space="0"/>
            </w:tcBorders>
            <w:shd w:val="clear" w:color="auto" w:fill="auto"/>
          </w:tcPr>
          <w:p>
            <w:pPr>
              <w:widowControl/>
              <w:tabs>
                <w:tab w:val="left" w:pos="420"/>
              </w:tabs>
              <w:spacing w:line="240" w:lineRule="atLeast"/>
              <w:ind w:left="420" w:hanging="420"/>
              <w:jc w:val="left"/>
              <w:rPr>
                <w:rFonts w:ascii="宋体" w:hAnsi="宋体" w:eastAsia="宋体" w:cs="宋体"/>
                <w:kern w:val="0"/>
                <w:sz w:val="24"/>
                <w:szCs w:val="24"/>
              </w:rPr>
            </w:pPr>
            <w:r>
              <w:rPr>
                <w:rFonts w:hint="eastAsia" w:ascii="仿宋_GB2312" w:hAnsi="宋体" w:eastAsia="仿宋_GB2312" w:cs="宋体"/>
                <w:kern w:val="0"/>
                <w:sz w:val="28"/>
                <w:szCs w:val="28"/>
              </w:rPr>
              <w:t>61.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总硒</w:t>
            </w:r>
          </w:p>
        </w:tc>
        <w:tc>
          <w:tcPr>
            <w:tcW w:w="324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说明：1.第一、二类污染物的分类依据为《污水综合排放标准》(GB8978-1996)。</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2.同一排放口中的化学需氧量(COD)、生化需氧量(BOD5)和总有机碳(TOC)，只征收一项。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rPr>
        <w:t>　　表3 PH值、色度、大肠菌群数、余氯量污染当量值</w:t>
      </w:r>
    </w:p>
    <w:tbl>
      <w:tblPr>
        <w:tblStyle w:val="3"/>
        <w:tblW w:w="8280" w:type="dxa"/>
        <w:tblInd w:w="2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620"/>
        <w:gridCol w:w="3060"/>
        <w:gridCol w:w="3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6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污染物</w:t>
            </w:r>
          </w:p>
        </w:tc>
        <w:tc>
          <w:tcPr>
            <w:tcW w:w="360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污染当量值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16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PH值</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0-1, 13-14</w:t>
            </w:r>
          </w:p>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1-2, 12-13</w:t>
            </w:r>
          </w:p>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2-3, 11-12</w:t>
            </w:r>
          </w:p>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4.</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3-4, 10-11</w:t>
            </w:r>
          </w:p>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5.</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4-5, 9-10</w:t>
            </w:r>
          </w:p>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6.</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5-6,</w:t>
            </w:r>
          </w:p>
        </w:tc>
        <w:tc>
          <w:tcPr>
            <w:tcW w:w="360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0.06吨污水</w:t>
            </w:r>
          </w:p>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0.125吨污水</w:t>
            </w:r>
          </w:p>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0.25吨污水</w:t>
            </w:r>
          </w:p>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0.5吨污水</w:t>
            </w:r>
          </w:p>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1吨污水</w:t>
            </w:r>
          </w:p>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5吨污水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6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色度</w:t>
            </w:r>
          </w:p>
        </w:tc>
        <w:tc>
          <w:tcPr>
            <w:tcW w:w="360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5吨水·倍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6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大肠菌群数(超标)</w:t>
            </w:r>
          </w:p>
        </w:tc>
        <w:tc>
          <w:tcPr>
            <w:tcW w:w="360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3.3吨污水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68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0"/>
                <w:szCs w:val="20"/>
              </w:rPr>
              <w:t>4.</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0"/>
                <w:szCs w:val="20"/>
              </w:rPr>
              <w:t>余氯量(用氯消毒的医院废水</w:t>
            </w:r>
            <w:r>
              <w:rPr>
                <w:rFonts w:hint="eastAsia" w:ascii="仿宋_GB2312" w:hAnsi="宋体" w:eastAsia="仿宋_GB2312" w:cs="宋体"/>
                <w:kern w:val="0"/>
                <w:sz w:val="28"/>
                <w:szCs w:val="28"/>
              </w:rPr>
              <w:t>)</w:t>
            </w:r>
          </w:p>
        </w:tc>
        <w:tc>
          <w:tcPr>
            <w:tcW w:w="360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3.3吨污水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1620" w:type="dxa"/>
            <w:tcBorders>
              <w:top w:val="outset" w:color="ECE9D8" w:sz="6" w:space="0"/>
              <w:left w:val="outset" w:color="ECE9D8" w:sz="6" w:space="0"/>
              <w:bottom w:val="outset" w:color="ECE9D8" w:sz="6" w:space="0"/>
              <w:right w:val="outset" w:color="ECE9D8" w:sz="6" w:space="0"/>
            </w:tcBorders>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060" w:type="dxa"/>
            <w:tcBorders>
              <w:top w:val="outset" w:color="ECE9D8" w:sz="6" w:space="0"/>
              <w:left w:val="outset" w:color="ECE9D8" w:sz="6" w:space="0"/>
              <w:bottom w:val="outset" w:color="ECE9D8" w:sz="6" w:space="0"/>
              <w:right w:val="outset" w:color="ECE9D8" w:sz="6" w:space="0"/>
            </w:tcBorders>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600" w:type="dxa"/>
            <w:tcBorders>
              <w:top w:val="outset" w:color="ECE9D8" w:sz="6" w:space="0"/>
              <w:left w:val="outset" w:color="ECE9D8" w:sz="6" w:space="0"/>
              <w:bottom w:val="outset" w:color="ECE9D8" w:sz="6" w:space="0"/>
              <w:right w:val="outset" w:color="ECE9D8" w:sz="6" w:space="0"/>
            </w:tcBorders>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说明:1. 大肠菌群数和总余氯只征收一项。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2、PH5-6指大于等于5，小于6;PH9-10指大于9，小于等于10，其余类推。</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rPr>
        <w:t>　　表4 禽畜养殖业、小型企业和第三产业污染当量值</w:t>
      </w:r>
    </w:p>
    <w:tbl>
      <w:tblPr>
        <w:tblStyle w:val="3"/>
        <w:tblW w:w="8310"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1830"/>
        <w:gridCol w:w="1080"/>
        <w:gridCol w:w="1440"/>
        <w:gridCol w:w="39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4350" w:type="dxa"/>
            <w:gridSpan w:val="3"/>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类型</w:t>
            </w: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污染当量值</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183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禽畜养殖场</w:t>
            </w:r>
          </w:p>
        </w:tc>
        <w:tc>
          <w:tcPr>
            <w:tcW w:w="2520"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1.</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牛</w:t>
            </w: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18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520"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2.</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猪</w:t>
            </w: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1头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18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520" w:type="dxa"/>
            <w:gridSpan w:val="2"/>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ind w:left="425" w:hanging="425"/>
              <w:jc w:val="left"/>
              <w:rPr>
                <w:rFonts w:ascii="宋体" w:hAnsi="宋体" w:eastAsia="宋体" w:cs="宋体"/>
                <w:kern w:val="0"/>
                <w:sz w:val="24"/>
                <w:szCs w:val="24"/>
              </w:rPr>
            </w:pPr>
            <w:r>
              <w:rPr>
                <w:rFonts w:hint="eastAsia" w:ascii="仿宋_GB2312" w:hAnsi="宋体" w:eastAsia="仿宋_GB2312" w:cs="宋体"/>
                <w:kern w:val="0"/>
                <w:sz w:val="28"/>
                <w:szCs w:val="28"/>
              </w:rPr>
              <w:t>3.</w:t>
            </w:r>
            <w:r>
              <w:rPr>
                <w:rFonts w:ascii="Times New Roman" w:hAnsi="Times New Roman" w:eastAsia="仿宋_GB2312" w:cs="Times New Roman"/>
                <w:kern w:val="0"/>
                <w:sz w:val="14"/>
                <w:szCs w:val="14"/>
              </w:rPr>
              <w:t xml:space="preserve"> </w:t>
            </w:r>
            <w:r>
              <w:rPr>
                <w:rFonts w:hint="eastAsia" w:ascii="仿宋_GB2312" w:hAnsi="宋体" w:eastAsia="仿宋_GB2312" w:cs="宋体"/>
                <w:kern w:val="0"/>
                <w:sz w:val="28"/>
                <w:szCs w:val="28"/>
              </w:rPr>
              <w:t>鸡、鸭等家禽</w:t>
            </w: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30羽</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rPr>
          <w:trHeight w:val="546" w:hRule="atLeast"/>
        </w:trPr>
        <w:tc>
          <w:tcPr>
            <w:tcW w:w="435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40" w:lineRule="atLeast"/>
              <w:jc w:val="center"/>
              <w:rPr>
                <w:rFonts w:ascii="宋体" w:hAnsi="宋体" w:eastAsia="宋体" w:cs="宋体"/>
                <w:kern w:val="0"/>
                <w:sz w:val="24"/>
                <w:szCs w:val="24"/>
              </w:rPr>
            </w:pPr>
            <w:r>
              <w:rPr>
                <w:rFonts w:ascii="Times New Roman" w:hAnsi="Times New Roman" w:eastAsia="仿宋_GB2312" w:cs="Times New Roman"/>
                <w:kern w:val="0"/>
                <w:sz w:val="20"/>
                <w:szCs w:val="20"/>
              </w:rPr>
              <w:t>4.</w:t>
            </w:r>
            <w:r>
              <w:rPr>
                <w:rFonts w:hint="eastAsia" w:ascii="仿宋_GB2312" w:hAnsi="宋体" w:eastAsia="仿宋_GB2312" w:cs="宋体"/>
                <w:kern w:val="0"/>
                <w:sz w:val="20"/>
                <w:szCs w:val="20"/>
              </w:rPr>
              <w:t>小型企业</w:t>
            </w: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1.8吨污水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4350" w:type="dxa"/>
            <w:gridSpan w:val="3"/>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ind w:firstLine="1820"/>
              <w:jc w:val="left"/>
              <w:rPr>
                <w:rFonts w:ascii="宋体" w:hAnsi="宋体" w:eastAsia="宋体" w:cs="宋体"/>
                <w:kern w:val="0"/>
                <w:sz w:val="24"/>
                <w:szCs w:val="24"/>
              </w:rPr>
            </w:pPr>
            <w:r>
              <w:rPr>
                <w:rFonts w:hint="eastAsia" w:ascii="仿宋_GB2312" w:hAnsi="宋体" w:eastAsia="仿宋_GB2312" w:cs="宋体"/>
                <w:kern w:val="0"/>
                <w:sz w:val="20"/>
                <w:szCs w:val="20"/>
              </w:rPr>
              <w:t>5.饮食娱乐服务业</w:t>
            </w: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0.5吨污水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2910"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40" w:lineRule="atLeast"/>
              <w:ind w:firstLine="1820"/>
              <w:jc w:val="left"/>
              <w:rPr>
                <w:rFonts w:ascii="宋体" w:hAnsi="宋体" w:eastAsia="宋体" w:cs="宋体"/>
                <w:kern w:val="0"/>
                <w:sz w:val="24"/>
                <w:szCs w:val="24"/>
              </w:rPr>
            </w:pPr>
            <w:r>
              <w:rPr>
                <w:rFonts w:hint="eastAsia" w:ascii="仿宋_GB2312" w:hAnsi="宋体" w:eastAsia="仿宋_GB2312" w:cs="宋体"/>
                <w:kern w:val="0"/>
                <w:sz w:val="20"/>
                <w:szCs w:val="20"/>
              </w:rPr>
              <w:t>6.医院</w:t>
            </w:r>
          </w:p>
        </w:tc>
        <w:tc>
          <w:tcPr>
            <w:tcW w:w="144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消毒</w:t>
            </w: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0.14床</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291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2.8吨污水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291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4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不消毒</w:t>
            </w: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wordWrap w:val="0"/>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0.07床</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291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44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3960" w:type="dxa"/>
            <w:tcBorders>
              <w:top w:val="single" w:color="auto" w:sz="6" w:space="0"/>
              <w:left w:val="single" w:color="auto" w:sz="6" w:space="0"/>
              <w:bottom w:val="single" w:color="auto" w:sz="6" w:space="0"/>
              <w:right w:val="single" w:color="auto" w:sz="6"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1.4吨污水</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c>
          <w:tcPr>
            <w:tcW w:w="1830" w:type="dxa"/>
            <w:tcBorders>
              <w:top w:val="outset" w:color="ECE9D8" w:sz="6" w:space="0"/>
              <w:left w:val="outset" w:color="ECE9D8" w:sz="6" w:space="0"/>
              <w:bottom w:val="outset" w:color="ECE9D8" w:sz="6" w:space="0"/>
              <w:right w:val="outset" w:color="ECE9D8" w:sz="6" w:space="0"/>
            </w:tcBorders>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1080" w:type="dxa"/>
            <w:tcBorders>
              <w:top w:val="outset" w:color="ECE9D8" w:sz="6" w:space="0"/>
              <w:left w:val="outset" w:color="ECE9D8" w:sz="6" w:space="0"/>
              <w:bottom w:val="outset" w:color="ECE9D8" w:sz="6" w:space="0"/>
              <w:right w:val="outset" w:color="ECE9D8" w:sz="6" w:space="0"/>
            </w:tcBorders>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1440" w:type="dxa"/>
            <w:tcBorders>
              <w:top w:val="outset" w:color="ECE9D8" w:sz="6" w:space="0"/>
              <w:left w:val="outset" w:color="ECE9D8" w:sz="6" w:space="0"/>
              <w:bottom w:val="outset" w:color="ECE9D8" w:sz="6" w:space="0"/>
              <w:right w:val="outset" w:color="ECE9D8" w:sz="6" w:space="0"/>
            </w:tcBorders>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c>
          <w:tcPr>
            <w:tcW w:w="3960" w:type="dxa"/>
            <w:tcBorders>
              <w:top w:val="outset" w:color="ECE9D8" w:sz="6" w:space="0"/>
              <w:left w:val="outset" w:color="ECE9D8" w:sz="6" w:space="0"/>
              <w:bottom w:val="outset" w:color="ECE9D8" w:sz="6" w:space="0"/>
              <w:right w:val="outset" w:color="ECE9D8" w:sz="6" w:space="0"/>
            </w:tcBorders>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说明: 1.本表仅适用于计算无法进行实际监测或物料衡算的禽畜养殖业、小型企业和第三产业等小型排污者的污染当量数。</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2.仅对存栏规模大于50头牛、500头猪、5000羽鸡、鸭等的禽畜养殖场收费。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3.医院病床数大于20张的按本表计算污染当量。</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二、废气排污费征收标准及计算方法</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(一)废气排污费按排污者排放污染物的种类、数量以污染当量计算征收，每一污染当量征收标准为0.6元。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其中，二氧化硫排污费，第一年每一污染当量征收标准为0.2 元，第二年(2004年7月1日起)每一污染当量征收标准为0.4元，第三年(2005年7月1日起)达到与其它大气污染物相同的征收标准，即每一污染当量征收标准为0.6元。氮氧化物在2004年7月1日前不收费，2004年7月1日起按每一污染当量0.6元收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北京市二氧化硫排污费仍按经国务院同意，1999年国家计委批准的收费标准执行，即高硫煤每公斤二氧化硫排污费1.20元，低硫煤每公斤二氧化硫排污费0.50元。2005年7月1日起，低硫煤二氧化硫排污费标准为每一污染当量0.6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本办法实施前两年，杭州、郑州和吉林三个城市的二氧化硫排污费标准，按当地人民政府批准的总量排污收费标准执行，即杭州、吉林二个城市的二氧化硫排污费标准为每一污染当量0.6元，郑州市 二氧化硫排污费标准为每一污染当量0.5元 。2005年7月1日起，三个城市的二氧化硫排污费标准均按本办法规定执行。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(三)对每一排放口征收废气排污费的污染物种类数，以污染当量数从多到少的顺序,最多不超过3项。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(四)大气污染物污染当量数计算</w:t>
      </w:r>
    </w:p>
    <w:tbl>
      <w:tblPr>
        <w:tblStyle w:val="3"/>
        <w:tblW w:w="7963" w:type="dxa"/>
        <w:tblInd w:w="425" w:type="dxa"/>
        <w:tblLayout w:type="fixed"/>
        <w:tblCellMar>
          <w:top w:w="0" w:type="dxa"/>
          <w:left w:w="108" w:type="dxa"/>
          <w:bottom w:w="0" w:type="dxa"/>
          <w:right w:w="108" w:type="dxa"/>
        </w:tblCellMar>
      </w:tblPr>
      <w:tblGrid>
        <w:gridCol w:w="3643"/>
        <w:gridCol w:w="4320"/>
      </w:tblGrid>
      <w:tr>
        <w:tblPrEx>
          <w:tblLayout w:type="fixed"/>
          <w:tblCellMar>
            <w:top w:w="0" w:type="dxa"/>
            <w:left w:w="108" w:type="dxa"/>
            <w:bottom w:w="0" w:type="dxa"/>
            <w:right w:w="108" w:type="dxa"/>
          </w:tblCellMar>
        </w:tblPrEx>
        <w:trPr>
          <w:trHeight w:val="180" w:hRule="atLeast"/>
        </w:trPr>
        <w:tc>
          <w:tcPr>
            <w:tcW w:w="3643" w:type="dxa"/>
            <w:vMerge w:val="restart"/>
            <w:tcBorders>
              <w:top w:val="nil"/>
              <w:left w:val="nil"/>
              <w:bottom w:val="nil"/>
              <w:right w:val="nil"/>
            </w:tcBorders>
            <w:shd w:val="clear" w:color="auto" w:fill="auto"/>
            <w:vAlign w:val="center"/>
          </w:tcPr>
          <w:p>
            <w:pPr>
              <w:widowControl/>
              <w:spacing w:line="18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某污染物的污染当量数＝</w:t>
            </w:r>
          </w:p>
        </w:tc>
        <w:tc>
          <w:tcPr>
            <w:tcW w:w="4320" w:type="dxa"/>
            <w:tcBorders>
              <w:top w:val="nil"/>
              <w:left w:val="nil"/>
              <w:bottom w:val="single" w:color="auto" w:sz="4" w:space="0"/>
              <w:right w:val="nil"/>
            </w:tcBorders>
            <w:shd w:val="clear" w:color="auto" w:fill="auto"/>
            <w:vAlign w:val="center"/>
          </w:tcPr>
          <w:p>
            <w:pPr>
              <w:widowControl/>
              <w:spacing w:line="18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该污染物的排放量（千克）</w:t>
            </w:r>
          </w:p>
        </w:tc>
      </w:tr>
      <w:tr>
        <w:tblPrEx>
          <w:tblLayout w:type="fixed"/>
          <w:tblCellMar>
            <w:top w:w="0" w:type="dxa"/>
            <w:left w:w="108" w:type="dxa"/>
            <w:bottom w:w="0" w:type="dxa"/>
            <w:right w:w="108" w:type="dxa"/>
          </w:tblCellMar>
        </w:tblPrEx>
        <w:trPr>
          <w:trHeight w:val="180" w:hRule="atLeast"/>
        </w:trPr>
        <w:tc>
          <w:tcPr>
            <w:tcW w:w="3643" w:type="dxa"/>
            <w:vMerge w:val="continue"/>
            <w:tcBorders>
              <w:top w:val="nil"/>
              <w:left w:val="nil"/>
              <w:bottom w:val="nil"/>
              <w:right w:val="nil"/>
            </w:tcBorders>
            <w:vAlign w:val="center"/>
          </w:tcPr>
          <w:p>
            <w:pPr>
              <w:widowControl/>
              <w:jc w:val="left"/>
              <w:rPr>
                <w:rFonts w:ascii="宋体" w:hAnsi="宋体" w:eastAsia="宋体" w:cs="宋体"/>
                <w:kern w:val="0"/>
                <w:sz w:val="24"/>
                <w:szCs w:val="24"/>
              </w:rPr>
            </w:pPr>
          </w:p>
        </w:tc>
        <w:tc>
          <w:tcPr>
            <w:tcW w:w="4320" w:type="dxa"/>
            <w:tcBorders>
              <w:top w:val="single" w:color="auto" w:sz="4" w:space="0"/>
              <w:left w:val="nil"/>
              <w:bottom w:val="nil"/>
              <w:right w:val="nil"/>
            </w:tcBorders>
            <w:shd w:val="clear" w:color="auto" w:fill="auto"/>
            <w:vAlign w:val="center"/>
          </w:tcPr>
          <w:p>
            <w:pPr>
              <w:widowControl/>
              <w:spacing w:line="18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该污染物的污染当量值（千克）</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大气污染物污染当量值见表5</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(五)排污费计算</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废气排污费征收额=0.6元×前3项污染物的污染当量数之和</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rPr>
        <w:t>　　表5 大气污染物污染当量值</w:t>
      </w:r>
    </w:p>
    <w:tbl>
      <w:tblPr>
        <w:tblStyle w:val="3"/>
        <w:tblW w:w="8280"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4860"/>
        <w:gridCol w:w="3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center"/>
              <w:rPr>
                <w:rFonts w:ascii="宋体" w:hAnsi="宋体" w:eastAsia="宋体" w:cs="宋体"/>
                <w:kern w:val="0"/>
                <w:sz w:val="24"/>
                <w:szCs w:val="24"/>
              </w:rPr>
            </w:pPr>
            <w:r>
              <w:rPr>
                <w:rFonts w:hint="eastAsia" w:ascii="仿宋_GB2312" w:hAnsi="宋体" w:eastAsia="仿宋_GB2312" w:cs="宋体"/>
                <w:kern w:val="0"/>
                <w:sz w:val="20"/>
                <w:szCs w:val="20"/>
              </w:rPr>
              <w:t>污染当量值（千克）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1．二氧化硫</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2．氮氧化物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3．一氧化碳</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16.7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4．氯气</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5．氯化氢</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10.75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6．氟化物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7．氰化氢</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8．硫酸雾</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9．铬酸雾</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10.汞及其化合物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11.一般性粉尘</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12.石棉尘</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13.玻璃棉尘</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2.13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14.碳黑尘</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0.59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15.铅及其化合物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16.镉及其化合物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17.铍及其化合物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18.镍及其化合物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19.锡及其化合物</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20.烟尘</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2.18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21.苯</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22.甲苯</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23.二甲苯</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24.苯并(a)芘</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0.000002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25.甲醛</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26.乙醛</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27.丙烯醛</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28.甲醇</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29.酚类</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30.沥青烟</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31.苯胺类</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32.氯苯类</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33.硝基苯</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34.丙烯腈</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35.氯乙烯</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36.光气</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37.硫化氢</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38.氨</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9.09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39.三甲胺</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40.甲硫醇</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41.甲硫醚</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42.二甲二硫</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0.28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43.苯乙烯</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c>
          <w:tcPr>
            <w:tcW w:w="486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left"/>
              <w:rPr>
                <w:rFonts w:ascii="宋体" w:hAnsi="宋体" w:eastAsia="宋体" w:cs="宋体"/>
                <w:kern w:val="0"/>
                <w:sz w:val="24"/>
                <w:szCs w:val="24"/>
              </w:rPr>
            </w:pPr>
            <w:r>
              <w:rPr>
                <w:rFonts w:hint="eastAsia" w:ascii="仿宋_GB2312" w:hAnsi="宋体" w:eastAsia="仿宋_GB2312" w:cs="宋体"/>
                <w:kern w:val="0"/>
                <w:sz w:val="20"/>
                <w:szCs w:val="20"/>
              </w:rPr>
              <w:t>44.二硫化碳</w:t>
            </w:r>
          </w:p>
        </w:tc>
        <w:tc>
          <w:tcPr>
            <w:tcW w:w="3420" w:type="dxa"/>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atLeast"/>
              <w:jc w:val="right"/>
              <w:rPr>
                <w:rFonts w:ascii="宋体" w:hAnsi="宋体" w:eastAsia="宋体" w:cs="宋体"/>
                <w:kern w:val="0"/>
                <w:sz w:val="24"/>
                <w:szCs w:val="24"/>
              </w:rPr>
            </w:pPr>
            <w:r>
              <w:rPr>
                <w:rFonts w:hint="eastAsia" w:ascii="仿宋_GB2312" w:hAnsi="宋体" w:eastAsia="仿宋_GB2312" w:cs="宋体"/>
                <w:kern w:val="0"/>
                <w:sz w:val="20"/>
                <w:szCs w:val="20"/>
              </w:rPr>
              <w:t>20</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(六)对难以监测的烟尘，可按林格曼黑度征收排污费。每吨燃料的征收标准为：1级1元、2级3元、3级5元、4级10元、5级20元。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三、固体废物及危险废物排污费征收标准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一)对无专用贮存或处置设施和专用贮存或处置设施达不到环境保护标准(即无防渗漏、防扬散、防流失设施)排放的工业固体废物，一次性征收固体废物排污费。每吨固体废物的征收标准为：冶炼渣25元、粉煤灰30元、炉渣25元、煤矸石5元、尾矿15元、其它渣(含半固态、液态废物)25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(二)对以填埋方式处置危险废物不符合国家有关规定的，危险废物排污费征收标准为每次每吨1000元。</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危险废物是指列入国家危险废物目录或者根据国家规定的危险废物鉴别标准和鉴别方法认定的具有危险特征的废物。</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四、噪声超标排污费征收标准</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对排污者产生环境噪声，超过国家规定的环境噪声排放标准，且干扰他人正常生活、工作和学习的，按照超标的分贝数征收噪声超标排污费,征收标准见表6。</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b/>
          <w:bCs/>
          <w:kern w:val="0"/>
        </w:rPr>
        <w:t>　　表6 噪声超标排污费征收标准</w:t>
      </w:r>
    </w:p>
    <w:tbl>
      <w:tblPr>
        <w:tblStyle w:val="3"/>
        <w:tblW w:w="8997" w:type="dxa"/>
        <w:tblInd w:w="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340"/>
        <w:gridCol w:w="717"/>
        <w:gridCol w:w="720"/>
        <w:gridCol w:w="720"/>
        <w:gridCol w:w="720"/>
        <w:gridCol w:w="720"/>
        <w:gridCol w:w="720"/>
        <w:gridCol w:w="90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2340" w:type="dxa"/>
            <w:tcBorders>
              <w:top w:val="single" w:color="auto" w:sz="4" w:space="0"/>
              <w:left w:val="single" w:color="auto" w:sz="4"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超标分贝数</w:t>
            </w:r>
          </w:p>
        </w:tc>
        <w:tc>
          <w:tcPr>
            <w:tcW w:w="717" w:type="dxa"/>
            <w:tcBorders>
              <w:top w:val="single" w:color="auto" w:sz="4"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1</w:t>
            </w:r>
          </w:p>
        </w:tc>
        <w:tc>
          <w:tcPr>
            <w:tcW w:w="720" w:type="dxa"/>
            <w:tcBorders>
              <w:top w:val="single" w:color="auto" w:sz="4"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2</w:t>
            </w:r>
          </w:p>
        </w:tc>
        <w:tc>
          <w:tcPr>
            <w:tcW w:w="720" w:type="dxa"/>
            <w:tcBorders>
              <w:top w:val="single" w:color="auto" w:sz="4"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3</w:t>
            </w:r>
          </w:p>
        </w:tc>
        <w:tc>
          <w:tcPr>
            <w:tcW w:w="720" w:type="dxa"/>
            <w:tcBorders>
              <w:top w:val="single" w:color="auto" w:sz="4"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4</w:t>
            </w:r>
          </w:p>
        </w:tc>
        <w:tc>
          <w:tcPr>
            <w:tcW w:w="720" w:type="dxa"/>
            <w:tcBorders>
              <w:top w:val="single" w:color="auto" w:sz="4"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5</w:t>
            </w:r>
          </w:p>
        </w:tc>
        <w:tc>
          <w:tcPr>
            <w:tcW w:w="720" w:type="dxa"/>
            <w:tcBorders>
              <w:top w:val="single" w:color="auto" w:sz="4"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6</w:t>
            </w:r>
          </w:p>
        </w:tc>
        <w:tc>
          <w:tcPr>
            <w:tcW w:w="900" w:type="dxa"/>
            <w:tcBorders>
              <w:top w:val="single" w:color="auto" w:sz="4"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7</w:t>
            </w:r>
          </w:p>
        </w:tc>
        <w:tc>
          <w:tcPr>
            <w:tcW w:w="1440" w:type="dxa"/>
            <w:tcBorders>
              <w:top w:val="single" w:color="auto" w:sz="4" w:space="0"/>
              <w:left w:val="single" w:color="auto" w:sz="6" w:space="0"/>
              <w:bottom w:val="single" w:color="auto" w:sz="6" w:space="0"/>
              <w:right w:val="single" w:color="auto" w:sz="4"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2340" w:type="dxa"/>
            <w:tcBorders>
              <w:top w:val="single" w:color="auto" w:sz="6" w:space="0"/>
              <w:left w:val="single" w:color="auto" w:sz="4"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收费标准（元／月）</w:t>
            </w:r>
          </w:p>
        </w:tc>
        <w:tc>
          <w:tcPr>
            <w:tcW w:w="717"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350</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440</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550</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700</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880</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1100</w:t>
            </w:r>
          </w:p>
        </w:tc>
        <w:tc>
          <w:tcPr>
            <w:tcW w:w="90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1400</w:t>
            </w:r>
          </w:p>
        </w:tc>
        <w:tc>
          <w:tcPr>
            <w:tcW w:w="1440"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1760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2340" w:type="dxa"/>
            <w:tcBorders>
              <w:top w:val="single" w:color="auto" w:sz="6" w:space="0"/>
              <w:left w:val="single" w:color="auto" w:sz="4"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超标分贝数</w:t>
            </w:r>
          </w:p>
        </w:tc>
        <w:tc>
          <w:tcPr>
            <w:tcW w:w="717"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9</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10</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11</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12</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13</w:t>
            </w:r>
          </w:p>
        </w:tc>
        <w:tc>
          <w:tcPr>
            <w:tcW w:w="72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14</w:t>
            </w:r>
          </w:p>
        </w:tc>
        <w:tc>
          <w:tcPr>
            <w:tcW w:w="900" w:type="dxa"/>
            <w:tcBorders>
              <w:top w:val="single" w:color="auto" w:sz="6" w:space="0"/>
              <w:left w:val="single" w:color="auto" w:sz="6" w:space="0"/>
              <w:bottom w:val="single" w:color="auto" w:sz="6"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15</w:t>
            </w:r>
          </w:p>
        </w:tc>
        <w:tc>
          <w:tcPr>
            <w:tcW w:w="1440" w:type="dxa"/>
            <w:tcBorders>
              <w:top w:val="single" w:color="auto" w:sz="6" w:space="0"/>
              <w:left w:val="single" w:color="auto" w:sz="6" w:space="0"/>
              <w:bottom w:val="single" w:color="auto" w:sz="6" w:space="0"/>
              <w:right w:val="single" w:color="auto" w:sz="4"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b/>
                <w:kern w:val="0"/>
                <w:sz w:val="20"/>
                <w:szCs w:val="20"/>
              </w:rPr>
              <w:t>16及16以上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c>
          <w:tcPr>
            <w:tcW w:w="2340" w:type="dxa"/>
            <w:tcBorders>
              <w:top w:val="single" w:color="auto" w:sz="6" w:space="0"/>
              <w:left w:val="single" w:color="auto" w:sz="4" w:space="0"/>
              <w:bottom w:val="single" w:color="auto" w:sz="4"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收费标准（元／月）</w:t>
            </w:r>
          </w:p>
        </w:tc>
        <w:tc>
          <w:tcPr>
            <w:tcW w:w="717" w:type="dxa"/>
            <w:tcBorders>
              <w:top w:val="single" w:color="auto" w:sz="6" w:space="0"/>
              <w:left w:val="single" w:color="auto" w:sz="6" w:space="0"/>
              <w:bottom w:val="single" w:color="auto" w:sz="4"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2200</w:t>
            </w:r>
          </w:p>
        </w:tc>
        <w:tc>
          <w:tcPr>
            <w:tcW w:w="720" w:type="dxa"/>
            <w:tcBorders>
              <w:top w:val="single" w:color="auto" w:sz="6" w:space="0"/>
              <w:left w:val="single" w:color="auto" w:sz="6" w:space="0"/>
              <w:bottom w:val="single" w:color="auto" w:sz="4"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2800</w:t>
            </w:r>
          </w:p>
        </w:tc>
        <w:tc>
          <w:tcPr>
            <w:tcW w:w="720" w:type="dxa"/>
            <w:tcBorders>
              <w:top w:val="single" w:color="auto" w:sz="6" w:space="0"/>
              <w:left w:val="single" w:color="auto" w:sz="6" w:space="0"/>
              <w:bottom w:val="single" w:color="auto" w:sz="4"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3520</w:t>
            </w:r>
          </w:p>
        </w:tc>
        <w:tc>
          <w:tcPr>
            <w:tcW w:w="720" w:type="dxa"/>
            <w:tcBorders>
              <w:top w:val="single" w:color="auto" w:sz="6" w:space="0"/>
              <w:left w:val="single" w:color="auto" w:sz="6" w:space="0"/>
              <w:bottom w:val="single" w:color="auto" w:sz="4"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4400</w:t>
            </w:r>
          </w:p>
        </w:tc>
        <w:tc>
          <w:tcPr>
            <w:tcW w:w="720" w:type="dxa"/>
            <w:tcBorders>
              <w:top w:val="single" w:color="auto" w:sz="6" w:space="0"/>
              <w:left w:val="single" w:color="auto" w:sz="6" w:space="0"/>
              <w:bottom w:val="single" w:color="auto" w:sz="4"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5600</w:t>
            </w:r>
          </w:p>
        </w:tc>
        <w:tc>
          <w:tcPr>
            <w:tcW w:w="720" w:type="dxa"/>
            <w:tcBorders>
              <w:top w:val="single" w:color="auto" w:sz="6" w:space="0"/>
              <w:left w:val="single" w:color="auto" w:sz="6" w:space="0"/>
              <w:bottom w:val="single" w:color="auto" w:sz="4"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7040</w:t>
            </w:r>
          </w:p>
        </w:tc>
        <w:tc>
          <w:tcPr>
            <w:tcW w:w="900" w:type="dxa"/>
            <w:tcBorders>
              <w:top w:val="single" w:color="auto" w:sz="6" w:space="0"/>
              <w:left w:val="single" w:color="auto" w:sz="6" w:space="0"/>
              <w:bottom w:val="single" w:color="auto" w:sz="4" w:space="0"/>
              <w:right w:val="single" w:color="auto" w:sz="6"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8800</w:t>
            </w:r>
          </w:p>
        </w:tc>
        <w:tc>
          <w:tcPr>
            <w:tcW w:w="1440" w:type="dxa"/>
            <w:tcBorders>
              <w:top w:val="single" w:color="auto" w:sz="6" w:space="0"/>
              <w:left w:val="single" w:color="auto" w:sz="6" w:space="0"/>
              <w:bottom w:val="single" w:color="auto" w:sz="4" w:space="0"/>
              <w:right w:val="single" w:color="auto" w:sz="4" w:space="0"/>
            </w:tcBorders>
            <w:shd w:val="clear" w:color="auto" w:fill="auto"/>
            <w:vAlign w:val="bottom"/>
          </w:tcPr>
          <w:p>
            <w:pPr>
              <w:widowControl/>
              <w:spacing w:line="240" w:lineRule="atLeast"/>
              <w:jc w:val="center"/>
              <w:textAlignment w:val="bottom"/>
              <w:rPr>
                <w:rFonts w:ascii="宋体" w:hAnsi="宋体" w:eastAsia="宋体" w:cs="宋体"/>
                <w:kern w:val="0"/>
                <w:sz w:val="24"/>
                <w:szCs w:val="24"/>
              </w:rPr>
            </w:pPr>
            <w:r>
              <w:rPr>
                <w:rFonts w:hint="eastAsia" w:ascii="仿宋_GB2312" w:hAnsi="宋体" w:eastAsia="仿宋_GB2312" w:cs="宋体"/>
                <w:kern w:val="0"/>
                <w:sz w:val="20"/>
                <w:szCs w:val="20"/>
              </w:rPr>
              <w:t>11200</w:t>
            </w:r>
          </w:p>
        </w:tc>
      </w:tr>
    </w:tbl>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说明:1.一个单位边界上有多处噪声超标，征收额应根据最高一处超标声级计算,当沿边界长度超过100米有二处及二处以上噪声超标,则加1倍征收。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2.一个单位若有不同地点的作业场所，收费应分别计算、合并征收。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3.昼、夜均超标的环境噪声，征收金额按本标准昼、夜分别计算，累计征收。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4.声源一个月内超标不足十五天的，噪声超标排污费减半征收。</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5.夜间频繁突发和夜间偶然突发厂界超标噪声排污费，按等效声级和峰值噪声两种指标中超标分贝值高的一项计算排污费。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6.一个工地同一施工单位多个建筑施工阶段同时进行时，按噪声限值最高的施工阶段计收超标噪声排污费。</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7.本标准以每分贝为计征单位，不足一分贝的按四舍五入原则计算。</w:t>
      </w:r>
    </w:p>
    <w:p>
      <w:pPr>
        <w:widowControl/>
        <w:spacing w:before="100" w:beforeAutospacing="1" w:after="100" w:afterAutospacing="1"/>
        <w:jc w:val="left"/>
        <w:rPr>
          <w:rFonts w:ascii="宋体" w:hAnsi="宋体" w:eastAsia="宋体" w:cs="宋体"/>
          <w:kern w:val="0"/>
          <w:szCs w:val="21"/>
        </w:rPr>
      </w:pPr>
      <w:r>
        <w:rPr>
          <w:rFonts w:ascii="宋体" w:hAnsi="宋体" w:eastAsia="宋体" w:cs="宋体"/>
          <w:kern w:val="0"/>
          <w:szCs w:val="21"/>
        </w:rPr>
        <w:t>　　8、对农民自建住宅不得征收噪声超标排污费。</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8449C"/>
    <w:rsid w:val="69184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2017-10-16T02:20:00Z</dcterms:created>
  <dc:creator>Administrator</dc:creator>
  <cp:lastModifiedBy>Administrator</cp:lastModifiedBy>
  <dcterms:modified xsi:type="dcterms:W3CDTF">2017-10-16T02:20:52Z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