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/>
          <w:bCs/>
          <w:sz w:val="44"/>
          <w:szCs w:val="44"/>
        </w:rPr>
      </w:pPr>
      <w:r>
        <w:rPr>
          <w:rFonts w:hint="eastAsia" w:ascii="文星标宋" w:hAnsi="文星标宋" w:eastAsia="文星标宋"/>
          <w:bCs/>
          <w:sz w:val="44"/>
          <w:szCs w:val="44"/>
        </w:rPr>
        <w:t>数字化城市管理运行通报</w:t>
      </w:r>
    </w:p>
    <w:p>
      <w:pPr>
        <w:jc w:val="center"/>
        <w:rPr>
          <w:rFonts w:hint="eastAsia" w:ascii="文星标宋" w:hAnsi="文星标宋" w:eastAsia="文星标宋"/>
          <w:bCs/>
          <w:sz w:val="32"/>
          <w:szCs w:val="32"/>
        </w:rPr>
      </w:pPr>
    </w:p>
    <w:p>
      <w:pPr>
        <w:numPr>
          <w:ilvl w:val="0"/>
          <w:numId w:val="1"/>
        </w:num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案件受理情况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2018年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月1日零时至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30</w:t>
      </w:r>
      <w:r>
        <w:rPr>
          <w:rFonts w:hint="eastAsia" w:ascii="仿宋" w:hAnsi="仿宋" w:eastAsia="仿宋"/>
          <w:sz w:val="28"/>
          <w:szCs w:val="28"/>
        </w:rPr>
        <w:t>日24时，罗山县数字化城市管理系统共立案城市管理案件</w:t>
      </w:r>
      <w:r>
        <w:rPr>
          <w:rFonts w:ascii="仿宋" w:hAnsi="仿宋" w:eastAsia="仿宋"/>
          <w:sz w:val="28"/>
          <w:szCs w:val="28"/>
        </w:rPr>
        <w:t>997</w:t>
      </w:r>
      <w:r>
        <w:rPr>
          <w:rFonts w:hint="eastAsia" w:ascii="仿宋" w:hAnsi="仿宋" w:eastAsia="仿宋"/>
          <w:sz w:val="28"/>
          <w:szCs w:val="28"/>
        </w:rPr>
        <w:t>件，其中:信息采集员巡查上报</w:t>
      </w:r>
      <w:r>
        <w:rPr>
          <w:rFonts w:ascii="仿宋" w:hAnsi="仿宋" w:eastAsia="仿宋"/>
          <w:sz w:val="28"/>
          <w:szCs w:val="28"/>
        </w:rPr>
        <w:t>978</w:t>
      </w:r>
      <w:r>
        <w:rPr>
          <w:rFonts w:hint="eastAsia" w:ascii="仿宋" w:hAnsi="仿宋" w:eastAsia="仿宋"/>
          <w:sz w:val="28"/>
          <w:szCs w:val="28"/>
        </w:rPr>
        <w:t>件,“12319”城市管理热线市民投诉</w:t>
      </w:r>
      <w:r>
        <w:rPr>
          <w:rFonts w:ascii="仿宋" w:hAnsi="仿宋" w:eastAsia="仿宋"/>
          <w:sz w:val="28"/>
          <w:szCs w:val="28"/>
        </w:rPr>
        <w:t>19</w:t>
      </w:r>
      <w:r>
        <w:rPr>
          <w:rFonts w:hint="eastAsia" w:ascii="仿宋" w:hAnsi="仿宋" w:eastAsia="仿宋"/>
          <w:sz w:val="28"/>
          <w:szCs w:val="28"/>
        </w:rPr>
        <w:t xml:space="preserve">件，其他机构转接(市长热线、“110”指挥中心等) 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件。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二、高发问题统计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本月案件中事件类问题有</w:t>
      </w:r>
      <w:r>
        <w:rPr>
          <w:rFonts w:ascii="仿宋" w:hAnsi="仿宋" w:eastAsia="仿宋"/>
          <w:sz w:val="28"/>
          <w:szCs w:val="28"/>
        </w:rPr>
        <w:t>855</w:t>
      </w:r>
      <w:r>
        <w:rPr>
          <w:rFonts w:hint="eastAsia" w:ascii="仿宋" w:hAnsi="仿宋" w:eastAsia="仿宋"/>
          <w:sz w:val="28"/>
          <w:szCs w:val="28"/>
        </w:rPr>
        <w:t>件，占案件总数</w:t>
      </w:r>
      <w:r>
        <w:rPr>
          <w:rFonts w:ascii="仿宋" w:hAnsi="仿宋" w:eastAsia="仿宋"/>
          <w:sz w:val="28"/>
          <w:szCs w:val="28"/>
        </w:rPr>
        <w:t>85.76</w:t>
      </w:r>
      <w:r>
        <w:rPr>
          <w:rFonts w:hint="eastAsia" w:ascii="仿宋" w:hAnsi="仿宋" w:eastAsia="仿宋"/>
          <w:sz w:val="28"/>
          <w:szCs w:val="28"/>
        </w:rPr>
        <w:t>%，问题主要集中在非法小广告、暴露垃圾、违章接坡和乱堆物堆料等;部件类问题有</w:t>
      </w:r>
      <w:r>
        <w:rPr>
          <w:rFonts w:ascii="仿宋" w:hAnsi="仿宋" w:eastAsia="仿宋"/>
          <w:sz w:val="28"/>
          <w:szCs w:val="28"/>
        </w:rPr>
        <w:t>142</w:t>
      </w:r>
      <w:r>
        <w:rPr>
          <w:rFonts w:hint="eastAsia" w:ascii="仿宋" w:hAnsi="仿宋" w:eastAsia="仿宋"/>
          <w:sz w:val="28"/>
          <w:szCs w:val="28"/>
        </w:rPr>
        <w:t>件，占案件总数</w:t>
      </w:r>
      <w:r>
        <w:rPr>
          <w:rFonts w:ascii="仿宋" w:hAnsi="仿宋" w:eastAsia="仿宋"/>
          <w:sz w:val="28"/>
          <w:szCs w:val="28"/>
        </w:rPr>
        <w:t>14.24</w:t>
      </w:r>
      <w:r>
        <w:rPr>
          <w:rFonts w:hint="eastAsia" w:ascii="仿宋" w:hAnsi="仿宋" w:eastAsia="仿宋"/>
          <w:sz w:val="28"/>
          <w:szCs w:val="28"/>
        </w:rPr>
        <w:t xml:space="preserve">%，主要集中在雨水箅子、垃圾箱和护树设施等问题。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/>
        </w:rPr>
        <w:drawing>
          <wp:inline distT="0" distB="0" distL="0" distR="0">
            <wp:extent cx="4962525" cy="2390775"/>
            <wp:effectExtent l="0" t="0" r="9525" b="952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三、各责任单位排名情况 </w:t>
      </w:r>
    </w:p>
    <w:p>
      <w:pPr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按照《罗山县市数字化城市管理考核办法》相关规定，各责任单位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月份排名情况如下: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街道办事处组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第一名: 丽水办事处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第二名:宝城办事处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第三名:龙山办事处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(二)县直及企事业单位组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第一名: 公安局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第二名:文广新局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第三名:移动公司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第四名:弘昌燃气公司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第五名:林业局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第六名:住建局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该月未处置案件的单位有：供电公司、电信公司、联通公司、自来水公司。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（三）城市管理局局系统组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第一名: 城管监察大队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第二名: 环卫所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第三名：市政所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倒数第一名：广告办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</w:t>
      </w:r>
      <w:r>
        <w:rPr>
          <w:rFonts w:ascii="仿宋" w:hAnsi="仿宋" w:eastAsia="仿宋"/>
          <w:b/>
          <w:sz w:val="28"/>
          <w:szCs w:val="28"/>
        </w:rPr>
        <w:t>6</w:t>
      </w:r>
      <w:r>
        <w:rPr>
          <w:rFonts w:hint="eastAsia" w:ascii="仿宋" w:hAnsi="仿宋" w:eastAsia="仿宋"/>
          <w:b/>
          <w:sz w:val="28"/>
          <w:szCs w:val="28"/>
        </w:rPr>
        <w:t>月份案件处置情况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2018年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月份应处置</w:t>
      </w:r>
      <w:r>
        <w:rPr>
          <w:rFonts w:ascii="仿宋" w:hAnsi="仿宋" w:eastAsia="仿宋"/>
          <w:sz w:val="28"/>
          <w:szCs w:val="28"/>
        </w:rPr>
        <w:t>997</w:t>
      </w:r>
      <w:r>
        <w:rPr>
          <w:rFonts w:hint="eastAsia" w:ascii="仿宋" w:hAnsi="仿宋" w:eastAsia="仿宋"/>
          <w:sz w:val="28"/>
          <w:szCs w:val="28"/>
        </w:rPr>
        <w:t>件，实际处置</w:t>
      </w:r>
      <w:r>
        <w:rPr>
          <w:rFonts w:ascii="仿宋" w:hAnsi="仿宋" w:eastAsia="仿宋"/>
          <w:sz w:val="28"/>
          <w:szCs w:val="28"/>
        </w:rPr>
        <w:t>548</w:t>
      </w:r>
      <w:r>
        <w:rPr>
          <w:rFonts w:hint="eastAsia" w:ascii="仿宋" w:hAnsi="仿宋" w:eastAsia="仿宋"/>
          <w:sz w:val="28"/>
          <w:szCs w:val="28"/>
        </w:rPr>
        <w:t>件，处置率为</w:t>
      </w:r>
      <w:r>
        <w:rPr>
          <w:rFonts w:ascii="仿宋" w:hAnsi="仿宋" w:eastAsia="仿宋"/>
          <w:sz w:val="28"/>
          <w:szCs w:val="28"/>
        </w:rPr>
        <w:t>54.96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(一) 主要单位处置案件情况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月份，处置案件量较大的单位依次为:城管监察大队(处置</w:t>
      </w:r>
      <w:r>
        <w:rPr>
          <w:rFonts w:ascii="仿宋" w:hAnsi="仿宋" w:eastAsia="仿宋"/>
          <w:sz w:val="28"/>
          <w:szCs w:val="28"/>
        </w:rPr>
        <w:t>203</w:t>
      </w:r>
      <w:r>
        <w:rPr>
          <w:rFonts w:hint="eastAsia" w:ascii="仿宋" w:hAnsi="仿宋" w:eastAsia="仿宋"/>
          <w:sz w:val="28"/>
          <w:szCs w:val="28"/>
        </w:rPr>
        <w:t>件，占比</w:t>
      </w:r>
      <w:r>
        <w:rPr>
          <w:rFonts w:ascii="仿宋" w:hAnsi="仿宋" w:eastAsia="仿宋"/>
          <w:sz w:val="28"/>
          <w:szCs w:val="28"/>
        </w:rPr>
        <w:t>37.04</w:t>
      </w:r>
      <w:r>
        <w:rPr>
          <w:rFonts w:hint="eastAsia" w:ascii="仿宋" w:hAnsi="仿宋" w:eastAsia="仿宋"/>
          <w:sz w:val="28"/>
          <w:szCs w:val="28"/>
        </w:rPr>
        <w:t>%)、环卫所(处置</w:t>
      </w:r>
      <w:r>
        <w:rPr>
          <w:rFonts w:ascii="仿宋" w:hAnsi="仿宋" w:eastAsia="仿宋"/>
          <w:sz w:val="28"/>
          <w:szCs w:val="28"/>
        </w:rPr>
        <w:t>189</w:t>
      </w:r>
      <w:r>
        <w:rPr>
          <w:rFonts w:hint="eastAsia" w:ascii="仿宋" w:hAnsi="仿宋" w:eastAsia="仿宋"/>
          <w:sz w:val="28"/>
          <w:szCs w:val="28"/>
        </w:rPr>
        <w:t>件，占比</w:t>
      </w:r>
      <w:r>
        <w:rPr>
          <w:rFonts w:ascii="仿宋" w:hAnsi="仿宋" w:eastAsia="仿宋"/>
          <w:sz w:val="28"/>
          <w:szCs w:val="28"/>
        </w:rPr>
        <w:t>34.49</w:t>
      </w:r>
      <w:r>
        <w:rPr>
          <w:rFonts w:hint="eastAsia" w:ascii="仿宋" w:hAnsi="仿宋" w:eastAsia="仿宋"/>
          <w:sz w:val="28"/>
          <w:szCs w:val="28"/>
        </w:rPr>
        <w:t>%)、市政所(处置</w:t>
      </w:r>
      <w:r>
        <w:rPr>
          <w:rFonts w:ascii="仿宋" w:hAnsi="仿宋" w:eastAsia="仿宋"/>
          <w:sz w:val="28"/>
          <w:szCs w:val="28"/>
        </w:rPr>
        <w:t>70</w:t>
      </w:r>
      <w:r>
        <w:rPr>
          <w:rFonts w:hint="eastAsia" w:ascii="仿宋" w:hAnsi="仿宋" w:eastAsia="仿宋"/>
          <w:sz w:val="28"/>
          <w:szCs w:val="28"/>
        </w:rPr>
        <w:t>件，占比</w:t>
      </w:r>
      <w:r>
        <w:rPr>
          <w:rFonts w:ascii="仿宋" w:hAnsi="仿宋" w:eastAsia="仿宋"/>
          <w:sz w:val="28"/>
          <w:szCs w:val="28"/>
        </w:rPr>
        <w:t>12.77</w:t>
      </w:r>
      <w:r>
        <w:rPr>
          <w:rFonts w:hint="eastAsia" w:ascii="仿宋" w:hAnsi="仿宋" w:eastAsia="仿宋"/>
          <w:sz w:val="28"/>
          <w:szCs w:val="28"/>
        </w:rPr>
        <w:t>%)，以上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个单位处置了全县</w:t>
      </w:r>
      <w:r>
        <w:rPr>
          <w:rFonts w:ascii="仿宋" w:hAnsi="仿宋" w:eastAsia="仿宋"/>
          <w:sz w:val="28"/>
          <w:szCs w:val="28"/>
        </w:rPr>
        <w:t>46.34</w:t>
      </w:r>
      <w:r>
        <w:rPr>
          <w:rFonts w:hint="eastAsia" w:ascii="仿宋" w:hAnsi="仿宋" w:eastAsia="仿宋"/>
          <w:sz w:val="28"/>
          <w:szCs w:val="28"/>
        </w:rPr>
        <w:t>%的案件，是城市管理的主要单位。其他</w:t>
      </w:r>
      <w:r>
        <w:rPr>
          <w:rFonts w:ascii="仿宋" w:hAnsi="仿宋" w:eastAsia="仿宋"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>个单位处置了</w:t>
      </w:r>
      <w:r>
        <w:rPr>
          <w:rFonts w:ascii="仿宋" w:hAnsi="仿宋" w:eastAsia="仿宋"/>
          <w:sz w:val="28"/>
          <w:szCs w:val="28"/>
        </w:rPr>
        <w:t>86</w:t>
      </w:r>
      <w:r>
        <w:rPr>
          <w:rFonts w:hint="eastAsia" w:ascii="仿宋" w:hAnsi="仿宋" w:eastAsia="仿宋"/>
          <w:sz w:val="28"/>
          <w:szCs w:val="28"/>
        </w:rPr>
        <w:t>件，占比</w:t>
      </w:r>
      <w:r>
        <w:rPr>
          <w:rFonts w:ascii="仿宋" w:hAnsi="仿宋" w:eastAsia="仿宋"/>
          <w:sz w:val="28"/>
          <w:szCs w:val="28"/>
        </w:rPr>
        <w:t>8.63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(二)群众投诉处理情况。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月份，“12319”城市管理热线共受理群众举报问题</w:t>
      </w:r>
      <w:r>
        <w:rPr>
          <w:rFonts w:ascii="仿宋" w:hAnsi="仿宋" w:eastAsia="仿宋"/>
          <w:sz w:val="28"/>
          <w:szCs w:val="28"/>
        </w:rPr>
        <w:t>19</w:t>
      </w:r>
      <w:r>
        <w:rPr>
          <w:rFonts w:hint="eastAsia" w:ascii="仿宋" w:hAnsi="仿宋" w:eastAsia="仿宋"/>
          <w:sz w:val="28"/>
          <w:szCs w:val="28"/>
        </w:rPr>
        <w:t>件，已处置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件，处置率为</w:t>
      </w:r>
      <w:r>
        <w:rPr>
          <w:rFonts w:ascii="仿宋" w:hAnsi="仿宋" w:eastAsia="仿宋"/>
          <w:sz w:val="28"/>
          <w:szCs w:val="28"/>
        </w:rPr>
        <w:t>42.11</w:t>
      </w:r>
      <w:r>
        <w:rPr>
          <w:rFonts w:hint="eastAsia" w:ascii="仿宋" w:hAnsi="仿宋" w:eastAsia="仿宋"/>
          <w:sz w:val="28"/>
          <w:szCs w:val="28"/>
        </w:rPr>
        <w:t>%。超期未处置案件</w:t>
      </w:r>
      <w:r>
        <w:rPr>
          <w:rFonts w:ascii="仿宋" w:hAnsi="仿宋" w:eastAsia="仿宋"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>件。群众反复投诉并尚未解决的有: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1、丽水办事处邵洼社区龙池大道 “体育馆”东南角游乐场东边，存在沟渠污染的问题（责任单位：市政所）。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2、宝城办事处宝城社区宝城西路“美爆装扮”门店，存在商业噪音的问题（责任单位：城管监察大队）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(三)超期未处置案件情况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月份累计遗留超期未处置案件共计</w:t>
      </w:r>
      <w:r>
        <w:rPr>
          <w:rFonts w:ascii="仿宋" w:hAnsi="仿宋" w:eastAsia="仿宋"/>
          <w:sz w:val="28"/>
          <w:szCs w:val="28"/>
        </w:rPr>
        <w:t>438</w:t>
      </w:r>
      <w:r>
        <w:rPr>
          <w:rFonts w:hint="eastAsia" w:ascii="仿宋" w:hAnsi="仿宋" w:eastAsia="仿宋"/>
          <w:sz w:val="28"/>
          <w:szCs w:val="28"/>
        </w:rPr>
        <w:t>件，占总案件数</w:t>
      </w:r>
      <w:r>
        <w:rPr>
          <w:rFonts w:ascii="仿宋" w:hAnsi="仿宋" w:eastAsia="仿宋"/>
          <w:sz w:val="28"/>
          <w:szCs w:val="28"/>
        </w:rPr>
        <w:t>43.93</w:t>
      </w:r>
      <w:r>
        <w:rPr>
          <w:rFonts w:hint="eastAsia" w:ascii="仿宋" w:hAnsi="仿宋" w:eastAsia="仿宋"/>
          <w:sz w:val="28"/>
          <w:szCs w:val="28"/>
        </w:rPr>
        <w:t>%。遗留超期未处置案件较多的单位有:林业局、电信公司、供电公司等。主要情况如下: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1.林业局应处置案件</w:t>
      </w:r>
      <w:r>
        <w:rPr>
          <w:rFonts w:ascii="仿宋" w:hAnsi="仿宋" w:eastAsia="仿宋"/>
          <w:sz w:val="28"/>
          <w:szCs w:val="28"/>
        </w:rPr>
        <w:t>36</w:t>
      </w:r>
      <w:r>
        <w:rPr>
          <w:rFonts w:hint="eastAsia" w:ascii="仿宋" w:hAnsi="仿宋" w:eastAsia="仿宋"/>
          <w:sz w:val="28"/>
          <w:szCs w:val="28"/>
        </w:rPr>
        <w:t>件，已处置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件，尚未处置案件有</w:t>
      </w:r>
      <w:r>
        <w:rPr>
          <w:rFonts w:ascii="仿宋" w:hAnsi="仿宋" w:eastAsia="仿宋"/>
          <w:sz w:val="28"/>
          <w:szCs w:val="28"/>
        </w:rPr>
        <w:t>16</w:t>
      </w:r>
      <w:r>
        <w:rPr>
          <w:rFonts w:hint="eastAsia" w:ascii="仿宋" w:hAnsi="仿宋" w:eastAsia="仿宋"/>
          <w:sz w:val="28"/>
          <w:szCs w:val="28"/>
        </w:rPr>
        <w:t>件。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2.电信公司应处置案件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件，已处置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件，尚未处置案件有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 xml:space="preserve">件。 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3.供电公司应处置案件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件，已处置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件，尚未处置案件有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件。</w:t>
      </w:r>
    </w:p>
    <w:p>
      <w:pPr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附件:罗山县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月份责任单位案件处置情况统计表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tbl>
      <w:tblPr>
        <w:tblStyle w:val="5"/>
        <w:tblW w:w="10579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b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Arial"/>
                <w:b/>
                <w:kern w:val="0"/>
                <w:sz w:val="28"/>
                <w:szCs w:val="28"/>
              </w:rPr>
              <w:t>月份责任单位案件处置情况统计表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5"/>
        <w:tblpPr w:leftFromText="180" w:rightFromText="180" w:vertAnchor="text" w:horzAnchor="margin" w:tblpXSpec="center" w:tblpY="53"/>
        <w:tblW w:w="9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558"/>
        <w:gridCol w:w="1702"/>
        <w:gridCol w:w="1978"/>
        <w:gridCol w:w="1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责任单位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应结案数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结案数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超期未结案数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结案率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文广新局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公安局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移动公司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城管监察大队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290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203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环卫所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278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189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89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弘昌燃气公司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sz w:val="28"/>
                <w:szCs w:val="28"/>
              </w:rPr>
              <w:t>6.67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林业局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36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55.56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市政所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161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70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43.48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广告办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43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137</w:t>
            </w: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23.89%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住建局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自来水公司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供电公司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电信公司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联通公司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总计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997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548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438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54.96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％</w:t>
            </w:r>
          </w:p>
        </w:tc>
      </w:tr>
    </w:tbl>
    <w:p>
      <w:pPr>
        <w:adjustRightInd w:val="0"/>
        <w:snapToGrid w:val="0"/>
        <w:spacing w:line="600" w:lineRule="exact"/>
      </w:pP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2EC054"/>
    <w:multiLevelType w:val="singleLevel"/>
    <w:tmpl w:val="FE2EC05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883CCF"/>
    <w:multiLevelType w:val="multilevel"/>
    <w:tmpl w:val="6A883CCF"/>
    <w:lvl w:ilvl="0" w:tentative="0">
      <w:start w:val="1"/>
      <w:numFmt w:val="japaneseCounting"/>
      <w:lvlText w:val="(%1)"/>
      <w:lvlJc w:val="left"/>
      <w:pPr>
        <w:ind w:left="87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990" w:hanging="420"/>
      </w:pPr>
    </w:lvl>
    <w:lvl w:ilvl="2" w:tentative="0">
      <w:start w:val="1"/>
      <w:numFmt w:val="lowerRoman"/>
      <w:lvlText w:val="%3."/>
      <w:lvlJc w:val="right"/>
      <w:pPr>
        <w:ind w:left="1410" w:hanging="420"/>
      </w:pPr>
    </w:lvl>
    <w:lvl w:ilvl="3" w:tentative="0">
      <w:start w:val="1"/>
      <w:numFmt w:val="decimal"/>
      <w:lvlText w:val="%4."/>
      <w:lvlJc w:val="left"/>
      <w:pPr>
        <w:ind w:left="1830" w:hanging="420"/>
      </w:pPr>
    </w:lvl>
    <w:lvl w:ilvl="4" w:tentative="0">
      <w:start w:val="1"/>
      <w:numFmt w:val="lowerLetter"/>
      <w:lvlText w:val="%5)"/>
      <w:lvlJc w:val="left"/>
      <w:pPr>
        <w:ind w:left="2250" w:hanging="420"/>
      </w:pPr>
    </w:lvl>
    <w:lvl w:ilvl="5" w:tentative="0">
      <w:start w:val="1"/>
      <w:numFmt w:val="lowerRoman"/>
      <w:lvlText w:val="%6."/>
      <w:lvlJc w:val="right"/>
      <w:pPr>
        <w:ind w:left="2670" w:hanging="420"/>
      </w:pPr>
    </w:lvl>
    <w:lvl w:ilvl="6" w:tentative="0">
      <w:start w:val="1"/>
      <w:numFmt w:val="decimal"/>
      <w:lvlText w:val="%7."/>
      <w:lvlJc w:val="left"/>
      <w:pPr>
        <w:ind w:left="3090" w:hanging="420"/>
      </w:pPr>
    </w:lvl>
    <w:lvl w:ilvl="7" w:tentative="0">
      <w:start w:val="1"/>
      <w:numFmt w:val="lowerLetter"/>
      <w:lvlText w:val="%8)"/>
      <w:lvlJc w:val="left"/>
      <w:pPr>
        <w:ind w:left="3510" w:hanging="420"/>
      </w:pPr>
    </w:lvl>
    <w:lvl w:ilvl="8" w:tentative="0">
      <w:start w:val="1"/>
      <w:numFmt w:val="lowerRoman"/>
      <w:lvlText w:val="%9."/>
      <w:lvlJc w:val="right"/>
      <w:pPr>
        <w:ind w:left="39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411B57"/>
    <w:rsid w:val="0003313B"/>
    <w:rsid w:val="00061643"/>
    <w:rsid w:val="00061ADF"/>
    <w:rsid w:val="000664AE"/>
    <w:rsid w:val="000A0912"/>
    <w:rsid w:val="000B6EF1"/>
    <w:rsid w:val="000E078B"/>
    <w:rsid w:val="0012319D"/>
    <w:rsid w:val="00135572"/>
    <w:rsid w:val="0013752D"/>
    <w:rsid w:val="0014465C"/>
    <w:rsid w:val="00167503"/>
    <w:rsid w:val="00183E5D"/>
    <w:rsid w:val="001849E9"/>
    <w:rsid w:val="0019174A"/>
    <w:rsid w:val="001B7C2D"/>
    <w:rsid w:val="001E166C"/>
    <w:rsid w:val="00224E91"/>
    <w:rsid w:val="002255FA"/>
    <w:rsid w:val="00233F1A"/>
    <w:rsid w:val="00236E86"/>
    <w:rsid w:val="0028360C"/>
    <w:rsid w:val="002A7F85"/>
    <w:rsid w:val="002E4F03"/>
    <w:rsid w:val="002F2A4E"/>
    <w:rsid w:val="002F2F73"/>
    <w:rsid w:val="002F4B2F"/>
    <w:rsid w:val="00313CE0"/>
    <w:rsid w:val="00315FD7"/>
    <w:rsid w:val="00326C42"/>
    <w:rsid w:val="00346087"/>
    <w:rsid w:val="0035762D"/>
    <w:rsid w:val="00383E8E"/>
    <w:rsid w:val="003B6C87"/>
    <w:rsid w:val="003C7453"/>
    <w:rsid w:val="003E0490"/>
    <w:rsid w:val="003F703A"/>
    <w:rsid w:val="00407B8D"/>
    <w:rsid w:val="00410455"/>
    <w:rsid w:val="004212A6"/>
    <w:rsid w:val="004648DE"/>
    <w:rsid w:val="004759E5"/>
    <w:rsid w:val="00477125"/>
    <w:rsid w:val="00486EBB"/>
    <w:rsid w:val="0049047B"/>
    <w:rsid w:val="004A1487"/>
    <w:rsid w:val="004B0863"/>
    <w:rsid w:val="004D2346"/>
    <w:rsid w:val="004D2EBF"/>
    <w:rsid w:val="004F7192"/>
    <w:rsid w:val="00500C66"/>
    <w:rsid w:val="00505A76"/>
    <w:rsid w:val="00545C50"/>
    <w:rsid w:val="005A1018"/>
    <w:rsid w:val="00600D1F"/>
    <w:rsid w:val="00622775"/>
    <w:rsid w:val="00645FC6"/>
    <w:rsid w:val="0066593F"/>
    <w:rsid w:val="006823E1"/>
    <w:rsid w:val="006E35F3"/>
    <w:rsid w:val="006F1A2A"/>
    <w:rsid w:val="006F4527"/>
    <w:rsid w:val="00735A39"/>
    <w:rsid w:val="00742055"/>
    <w:rsid w:val="00764175"/>
    <w:rsid w:val="00786496"/>
    <w:rsid w:val="007B20C1"/>
    <w:rsid w:val="007C0C3D"/>
    <w:rsid w:val="007D6C90"/>
    <w:rsid w:val="007E02E4"/>
    <w:rsid w:val="00823108"/>
    <w:rsid w:val="00845B34"/>
    <w:rsid w:val="0087419A"/>
    <w:rsid w:val="008A229E"/>
    <w:rsid w:val="008C095A"/>
    <w:rsid w:val="008C2D4E"/>
    <w:rsid w:val="009224C4"/>
    <w:rsid w:val="00950B38"/>
    <w:rsid w:val="00964B43"/>
    <w:rsid w:val="00965848"/>
    <w:rsid w:val="009906FA"/>
    <w:rsid w:val="009E7CCF"/>
    <w:rsid w:val="00A0245D"/>
    <w:rsid w:val="00A246A7"/>
    <w:rsid w:val="00A25656"/>
    <w:rsid w:val="00A427B3"/>
    <w:rsid w:val="00A82DFD"/>
    <w:rsid w:val="00AB00B0"/>
    <w:rsid w:val="00AB4B09"/>
    <w:rsid w:val="00AC5CDB"/>
    <w:rsid w:val="00AD3C0D"/>
    <w:rsid w:val="00B151C6"/>
    <w:rsid w:val="00B2131C"/>
    <w:rsid w:val="00B414C2"/>
    <w:rsid w:val="00B74AD0"/>
    <w:rsid w:val="00B822B5"/>
    <w:rsid w:val="00BA2AC7"/>
    <w:rsid w:val="00BB02C8"/>
    <w:rsid w:val="00BC7F55"/>
    <w:rsid w:val="00C13361"/>
    <w:rsid w:val="00C378E4"/>
    <w:rsid w:val="00C54B10"/>
    <w:rsid w:val="00CC0542"/>
    <w:rsid w:val="00CD20CF"/>
    <w:rsid w:val="00CD40F9"/>
    <w:rsid w:val="00D00BBA"/>
    <w:rsid w:val="00D252DB"/>
    <w:rsid w:val="00D5160D"/>
    <w:rsid w:val="00D605BF"/>
    <w:rsid w:val="00D75F93"/>
    <w:rsid w:val="00E201CB"/>
    <w:rsid w:val="00E40FCC"/>
    <w:rsid w:val="00E56289"/>
    <w:rsid w:val="00E83EEB"/>
    <w:rsid w:val="00EB6F0F"/>
    <w:rsid w:val="00F37545"/>
    <w:rsid w:val="00F6329C"/>
    <w:rsid w:val="00FF0138"/>
    <w:rsid w:val="00FF3DB9"/>
    <w:rsid w:val="0F411B57"/>
    <w:rsid w:val="6E7C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uiPriority w:val="0"/>
    <w:rPr>
      <w:kern w:val="2"/>
      <w:sz w:val="18"/>
      <w:szCs w:val="18"/>
    </w:rPr>
  </w:style>
  <w:style w:type="character" w:styleId="9">
    <w:name w:val="Placeholder Text"/>
    <w:basedOn w:val="4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100">
                <a:solidFill>
                  <a:schemeClr val="tx1"/>
                </a:solidFill>
              </a:rPr>
              <a:t>6</a:t>
            </a:r>
            <a:r>
              <a:rPr lang="zh-CN" sz="1100">
                <a:solidFill>
                  <a:schemeClr val="tx1"/>
                </a:solidFill>
              </a:rPr>
              <a:t>月份高发问题统计表</a:t>
            </a:r>
            <a:endParaRPr lang="zh-CN" sz="110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32801302614950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1206714349506"/>
          <c:y val="0.110449409863047"/>
          <c:w val="0.810186221418971"/>
          <c:h val="0.6162846672029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立案数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Sheet1!$A$2:$A$10</c:f>
              <c:strCache>
                <c:ptCount val="9"/>
                <c:pt idx="0">
                  <c:v>事件类</c:v>
                </c:pt>
                <c:pt idx="1">
                  <c:v>暴露垃圾</c:v>
                </c:pt>
                <c:pt idx="2">
                  <c:v>违章接坡</c:v>
                </c:pt>
                <c:pt idx="3">
                  <c:v>非法小广告</c:v>
                </c:pt>
                <c:pt idx="4">
                  <c:v>乱堆物堆料</c:v>
                </c:pt>
                <c:pt idx="5">
                  <c:v>部件类</c:v>
                </c:pt>
                <c:pt idx="6">
                  <c:v>雨水箅子</c:v>
                </c:pt>
                <c:pt idx="7">
                  <c:v>垃圾箱</c:v>
                </c:pt>
                <c:pt idx="8">
                  <c:v>护树设施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1">
                  <c:v>188</c:v>
                </c:pt>
                <c:pt idx="2">
                  <c:v>164</c:v>
                </c:pt>
                <c:pt idx="3">
                  <c:v>137</c:v>
                </c:pt>
                <c:pt idx="4">
                  <c:v>63</c:v>
                </c:pt>
                <c:pt idx="6">
                  <c:v>78</c:v>
                </c:pt>
                <c:pt idx="7">
                  <c:v>17</c:v>
                </c:pt>
                <c:pt idx="8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4627728"/>
        <c:axId val="614626416"/>
      </c:barChart>
      <c:catAx>
        <c:axId val="61462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2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14626416"/>
        <c:crosses val="autoZero"/>
        <c:auto val="1"/>
        <c:lblAlgn val="ctr"/>
        <c:lblOffset val="100"/>
        <c:noMultiLvlLbl val="0"/>
      </c:catAx>
      <c:valAx>
        <c:axId val="614626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sz="102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sz="800">
                    <a:solidFill>
                      <a:schemeClr val="tx1"/>
                    </a:solidFill>
                  </a:rPr>
                  <a:t>案件数最（件）</a:t>
                </a:r>
                <a:endParaRPr lang="zh-CN" sz="800">
                  <a:solidFill>
                    <a:schemeClr val="tx1"/>
                  </a:solidFill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2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146277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79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020" baseline="0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211</Words>
  <Characters>1208</Characters>
  <Lines>10</Lines>
  <Paragraphs>2</Paragraphs>
  <TotalTime>655</TotalTime>
  <ScaleCrop>false</ScaleCrop>
  <LinksUpToDate>false</LinksUpToDate>
  <CharactersWithSpaces>1417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2018-10-19T02:50:00Z</dcterms:created>
  <dc:creator>李萍m</dc:creator>
  <cp:lastModifiedBy>亮金晶</cp:lastModifiedBy>
  <dcterms:modified xsi:type="dcterms:W3CDTF">2019-01-03T10:10:34Z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