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ascii="黑体" w:eastAsia="黑体"/>
          <w:sz w:val="32"/>
          <w:szCs w:val="32"/>
        </w:rPr>
      </w:pPr>
    </w:p>
    <w:p>
      <w:pPr>
        <w:widowControl/>
        <w:jc w:val="left"/>
        <w:rPr>
          <w:rFonts w:ascii="黑体" w:hAnsi="宋体" w:eastAsia="黑体" w:cs="宋体"/>
          <w:color w:val="000000"/>
          <w:kern w:val="0"/>
          <w:sz w:val="28"/>
          <w:szCs w:val="28"/>
        </w:rPr>
      </w:pPr>
    </w:p>
    <w:p>
      <w:pPr>
        <w:widowControl/>
        <w:jc w:val="left"/>
        <w:rPr>
          <w:rFonts w:ascii="黑体" w:hAnsi="宋体" w:eastAsia="黑体" w:cs="宋体"/>
          <w:color w:val="000000"/>
          <w:kern w:val="0"/>
          <w:sz w:val="28"/>
          <w:szCs w:val="28"/>
        </w:rPr>
      </w:pPr>
    </w:p>
    <w:p>
      <w:pPr>
        <w:widowControl/>
        <w:jc w:val="left"/>
        <w:rPr>
          <w:rFonts w:ascii="黑体" w:hAnsi="宋体" w:eastAsia="黑体" w:cs="宋体"/>
          <w:color w:val="000000"/>
          <w:kern w:val="0"/>
          <w:sz w:val="28"/>
          <w:szCs w:val="28"/>
        </w:rPr>
      </w:pPr>
    </w:p>
    <w:p>
      <w:pPr>
        <w:widowControl/>
        <w:jc w:val="left"/>
        <w:rPr>
          <w:rFonts w:ascii="黑体" w:hAnsi="宋体" w:eastAsia="黑体" w:cs="宋体"/>
          <w:color w:val="000000"/>
          <w:kern w:val="0"/>
          <w:sz w:val="28"/>
          <w:szCs w:val="28"/>
        </w:rPr>
      </w:pPr>
    </w:p>
    <w:p>
      <w:pPr>
        <w:widowControl/>
        <w:jc w:val="left"/>
        <w:rPr>
          <w:rFonts w:ascii="黑体" w:hAnsi="宋体" w:eastAsia="黑体" w:cs="宋体"/>
          <w:color w:val="000000"/>
          <w:kern w:val="0"/>
          <w:sz w:val="28"/>
          <w:szCs w:val="28"/>
        </w:rPr>
      </w:pPr>
    </w:p>
    <w:p>
      <w:pPr>
        <w:widowControl/>
        <w:jc w:val="left"/>
        <w:rPr>
          <w:rFonts w:ascii="黑体" w:hAnsi="宋体" w:eastAsia="黑体" w:cs="宋体"/>
          <w:color w:val="000000"/>
          <w:kern w:val="0"/>
          <w:sz w:val="28"/>
          <w:szCs w:val="28"/>
        </w:rPr>
      </w:pPr>
    </w:p>
    <w:p>
      <w:pPr>
        <w:jc w:val="center"/>
        <w:rPr>
          <w:rFonts w:ascii="黑体" w:hAnsi="黑体" w:eastAsia="黑体" w:cs="黑体"/>
          <w:sz w:val="52"/>
          <w:szCs w:val="52"/>
        </w:rPr>
      </w:pPr>
      <w:r>
        <w:rPr>
          <w:rFonts w:hint="eastAsia" w:ascii="黑体" w:hAnsi="黑体" w:eastAsia="黑体" w:cs="黑体"/>
          <w:sz w:val="52"/>
          <w:szCs w:val="52"/>
        </w:rPr>
        <w:t>罗山县妇女联合会</w:t>
      </w:r>
    </w:p>
    <w:p>
      <w:pPr>
        <w:jc w:val="center"/>
        <w:rPr>
          <w:rFonts w:ascii="黑体" w:hAnsi="黑体" w:eastAsia="黑体" w:cs="黑体"/>
          <w:sz w:val="52"/>
          <w:szCs w:val="52"/>
        </w:rPr>
      </w:pPr>
      <w:r>
        <w:rPr>
          <w:rFonts w:hint="eastAsia" w:ascii="黑体" w:hAnsi="黑体" w:eastAsia="黑体" w:cs="黑体"/>
          <w:sz w:val="52"/>
          <w:szCs w:val="52"/>
        </w:rPr>
        <w:t>2017年度部门决算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2"/>
          <w:szCs w:val="32"/>
        </w:rPr>
        <w:sectPr>
          <w:pgSz w:w="11906" w:h="16838"/>
          <w:pgMar w:top="1440" w:right="1531" w:bottom="1440" w:left="1587" w:header="850" w:footer="992" w:gutter="0"/>
          <w:pgNumType w:fmt="numberInDash" w:start="1"/>
          <w:cols w:space="720" w:num="1"/>
          <w:docGrid w:type="lines" w:linePitch="317" w:charSpace="0"/>
        </w:sectPr>
      </w:pPr>
      <w:r>
        <w:rPr>
          <w:rFonts w:hint="eastAsia" w:ascii="黑体" w:hAnsi="黑体" w:eastAsia="黑体" w:cs="黑体"/>
          <w:sz w:val="32"/>
          <w:szCs w:val="32"/>
        </w:rPr>
        <w:t>二〇一八年九月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罗山县妇女联合会概况</w:t>
      </w:r>
    </w:p>
    <w:p>
      <w:pPr>
        <w:jc w:val="left"/>
        <w:rPr>
          <w:rFonts w:ascii="黑体" w:hAnsi="黑体" w:eastAsia="黑体" w:cs="黑体"/>
          <w:sz w:val="32"/>
          <w:szCs w:val="32"/>
        </w:rPr>
      </w:pPr>
      <w:r>
        <w:rPr>
          <w:rFonts w:hint="eastAsia" w:ascii="黑体" w:hAnsi="黑体" w:eastAsia="黑体" w:cs="黑体"/>
          <w:sz w:val="32"/>
          <w:szCs w:val="32"/>
        </w:rPr>
        <w:t>第二部分　　罗山县妇女联合会2017年度部门决算情况说明</w:t>
      </w:r>
    </w:p>
    <w:p>
      <w:pPr>
        <w:ind w:firstLine="640" w:firstLineChars="200"/>
        <w:jc w:val="left"/>
        <w:rPr>
          <w:rFonts w:ascii="宋体" w:hAnsi="宋体" w:cs="宋体"/>
          <w:sz w:val="32"/>
          <w:szCs w:val="32"/>
        </w:rPr>
      </w:pPr>
      <w:r>
        <w:rPr>
          <w:rFonts w:hint="eastAsia" w:ascii="宋体" w:hAnsi="宋体" w:cs="宋体"/>
          <w:sz w:val="32"/>
          <w:szCs w:val="32"/>
        </w:rPr>
        <w:t>一、关于收入支出决算总体情况说明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二、关于收入决算情况说明</w:t>
      </w:r>
    </w:p>
    <w:p>
      <w:pPr>
        <w:ind w:firstLine="640" w:firstLineChars="200"/>
        <w:jc w:val="left"/>
        <w:rPr>
          <w:rFonts w:ascii="宋体" w:hAnsi="宋体" w:cs="宋体"/>
          <w:sz w:val="32"/>
          <w:szCs w:val="32"/>
        </w:rPr>
      </w:pPr>
      <w:r>
        <w:rPr>
          <w:rFonts w:hint="eastAsia" w:ascii="宋体" w:hAnsi="宋体" w:cs="宋体"/>
          <w:sz w:val="32"/>
          <w:szCs w:val="32"/>
        </w:rPr>
        <w:t>三、关于支出决算情况说明</w:t>
      </w:r>
    </w:p>
    <w:p>
      <w:pPr>
        <w:ind w:firstLine="640" w:firstLineChars="200"/>
        <w:jc w:val="left"/>
        <w:rPr>
          <w:rFonts w:ascii="宋体" w:hAnsi="宋体" w:cs="宋体"/>
          <w:sz w:val="32"/>
          <w:szCs w:val="32"/>
        </w:rPr>
      </w:pPr>
      <w:r>
        <w:rPr>
          <w:rFonts w:hint="eastAsia" w:ascii="宋体" w:hAnsi="宋体" w:cs="宋体"/>
          <w:sz w:val="32"/>
          <w:szCs w:val="32"/>
        </w:rPr>
        <w:t>四、关于财政拨款收入支出决算总体情况说明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五、关于一般公共预算财政拨款支出决算情况说明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六、关于一般公共预算财政拨款基本支出决算情况说明</w:t>
      </w:r>
    </w:p>
    <w:p>
      <w:pPr>
        <w:ind w:firstLine="640" w:firstLineChars="200"/>
        <w:jc w:val="left"/>
        <w:rPr>
          <w:rFonts w:ascii="宋体" w:hAnsi="宋体" w:cs="宋体"/>
          <w:sz w:val="32"/>
          <w:szCs w:val="32"/>
        </w:rPr>
      </w:pPr>
      <w:r>
        <w:rPr>
          <w:rFonts w:hint="eastAsia" w:ascii="宋体" w:hAnsi="宋体" w:cs="宋体"/>
          <w:sz w:val="32"/>
          <w:szCs w:val="32"/>
        </w:rPr>
        <w:t>七、关于一般公共预算财政拨款“三公”经费支出决算情况说明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八、关于预算绩效情况说明</w:t>
      </w:r>
    </w:p>
    <w:p>
      <w:pPr>
        <w:ind w:firstLine="640" w:firstLineChars="200"/>
        <w:jc w:val="left"/>
        <w:rPr>
          <w:rFonts w:ascii="宋体" w:hAnsi="宋体" w:cs="宋体"/>
          <w:sz w:val="32"/>
          <w:szCs w:val="32"/>
        </w:rPr>
      </w:pPr>
      <w:r>
        <w:rPr>
          <w:rFonts w:hint="eastAsia" w:ascii="宋体" w:hAnsi="宋体" w:cs="宋体"/>
          <w:sz w:val="32"/>
          <w:szCs w:val="32"/>
        </w:rPr>
        <w:t>九、关于政府性基金预算财政拨款支出决算情况说明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十、其他重要事项情况说明</w:t>
      </w:r>
    </w:p>
    <w:p>
      <w:pPr>
        <w:jc w:val="left"/>
        <w:rPr>
          <w:rFonts w:ascii="黑体" w:hAnsi="黑体" w:eastAsia="黑体" w:cs="黑体"/>
          <w:sz w:val="32"/>
          <w:szCs w:val="32"/>
        </w:rPr>
        <w:sectPr>
          <w:footerReference r:id="rId3" w:type="default"/>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第三部分　　罗山县妇女联合会部门决算名词解释</w:t>
      </w:r>
    </w:p>
    <w:p>
      <w:pPr>
        <w:widowControl/>
        <w:jc w:val="left"/>
        <w:rPr>
          <w:rFonts w:ascii="黑体" w:hAnsi="宋体" w:eastAsia="黑体" w:cs="宋体"/>
          <w:color w:val="000000"/>
          <w:kern w:val="0"/>
          <w:sz w:val="28"/>
          <w:szCs w:val="28"/>
        </w:rPr>
      </w:pPr>
    </w:p>
    <w:p>
      <w:pPr>
        <w:widowControl/>
        <w:jc w:val="left"/>
        <w:rPr>
          <w:rFonts w:ascii="黑体" w:hAnsi="宋体" w:eastAsia="黑体" w:cs="宋体"/>
          <w:color w:val="000000"/>
          <w:kern w:val="0"/>
          <w:sz w:val="28"/>
          <w:szCs w:val="28"/>
        </w:rPr>
      </w:pPr>
    </w:p>
    <w:p>
      <w:pPr>
        <w:widowControl/>
        <w:jc w:val="left"/>
        <w:rPr>
          <w:rFonts w:ascii="黑体" w:hAnsi="宋体" w:eastAsia="黑体" w:cs="宋体"/>
          <w:color w:val="000000"/>
          <w:kern w:val="0"/>
          <w:sz w:val="28"/>
          <w:szCs w:val="28"/>
        </w:rPr>
      </w:pPr>
    </w:p>
    <w:p>
      <w:pPr>
        <w:widowControl/>
        <w:jc w:val="left"/>
        <w:rPr>
          <w:rFonts w:ascii="黑体" w:hAnsi="宋体" w:eastAsia="黑体" w:cs="宋体"/>
          <w:color w:val="000000"/>
          <w:kern w:val="0"/>
          <w:sz w:val="28"/>
          <w:szCs w:val="28"/>
        </w:rPr>
      </w:pPr>
    </w:p>
    <w:p>
      <w:pPr>
        <w:widowControl/>
        <w:jc w:val="left"/>
        <w:rPr>
          <w:rFonts w:ascii="黑体" w:hAnsi="宋体" w:eastAsia="黑体" w:cs="宋体"/>
          <w:color w:val="000000"/>
          <w:kern w:val="0"/>
          <w:sz w:val="28"/>
          <w:szCs w:val="28"/>
        </w:rPr>
      </w:pPr>
    </w:p>
    <w:p>
      <w:pPr>
        <w:widowControl/>
        <w:jc w:val="left"/>
        <w:rPr>
          <w:rFonts w:ascii="黑体" w:hAnsi="宋体" w:eastAsia="黑体" w:cs="宋体"/>
          <w:color w:val="000000"/>
          <w:kern w:val="0"/>
          <w:sz w:val="28"/>
          <w:szCs w:val="28"/>
        </w:rPr>
      </w:pPr>
    </w:p>
    <w:p>
      <w:pPr>
        <w:widowControl/>
        <w:jc w:val="left"/>
        <w:rPr>
          <w:rFonts w:ascii="黑体" w:hAnsi="宋体" w:eastAsia="黑体" w:cs="宋体"/>
          <w:color w:val="000000"/>
          <w:kern w:val="0"/>
          <w:sz w:val="28"/>
          <w:szCs w:val="28"/>
        </w:rPr>
      </w:pPr>
    </w:p>
    <w:p>
      <w:pPr>
        <w:widowControl/>
        <w:jc w:val="center"/>
        <w:rPr>
          <w:rFonts w:ascii="黑体" w:hAnsi="黑体" w:eastAsia="黑体" w:cs="黑体"/>
          <w:sz w:val="48"/>
          <w:szCs w:val="48"/>
        </w:rPr>
      </w:pPr>
    </w:p>
    <w:p>
      <w:pPr>
        <w:widowControl/>
        <w:jc w:val="center"/>
        <w:rPr>
          <w:rFonts w:ascii="黑体" w:hAnsi="黑体" w:eastAsia="黑体" w:cs="黑体"/>
          <w:sz w:val="48"/>
          <w:szCs w:val="48"/>
        </w:rPr>
      </w:pPr>
    </w:p>
    <w:p>
      <w:pPr>
        <w:widowControl/>
        <w:jc w:val="center"/>
        <w:rPr>
          <w:rFonts w:ascii="黑体" w:hAnsi="黑体" w:eastAsia="黑体" w:cs="黑体"/>
          <w:sz w:val="48"/>
          <w:szCs w:val="48"/>
        </w:rPr>
      </w:pPr>
    </w:p>
    <w:p>
      <w:pPr>
        <w:widowControl/>
        <w:jc w:val="center"/>
        <w:rPr>
          <w:rFonts w:ascii="黑体" w:hAnsi="黑体" w:eastAsia="黑体" w:cs="黑体"/>
          <w:sz w:val="48"/>
          <w:szCs w:val="48"/>
        </w:rPr>
      </w:pPr>
      <w:r>
        <w:rPr>
          <w:rFonts w:hint="eastAsia" w:ascii="黑体" w:hAnsi="黑体" w:eastAsia="黑体" w:cs="黑体"/>
          <w:sz w:val="48"/>
          <w:szCs w:val="48"/>
        </w:rPr>
        <w:t>第一部分　　</w:t>
      </w:r>
    </w:p>
    <w:p>
      <w:pPr>
        <w:widowControl/>
        <w:jc w:val="center"/>
        <w:rPr>
          <w:rFonts w:ascii="黑体" w:hAnsi="宋体" w:eastAsia="黑体" w:cs="宋体"/>
          <w:color w:val="000000"/>
          <w:kern w:val="0"/>
          <w:sz w:val="28"/>
          <w:szCs w:val="28"/>
        </w:rPr>
        <w:sectPr>
          <w:pgSz w:w="11906" w:h="16838"/>
          <w:pgMar w:top="1440" w:right="1800" w:bottom="1440" w:left="1800" w:header="720" w:footer="720" w:gutter="0"/>
          <w:cols w:space="720" w:num="1"/>
          <w:docGrid w:type="lines" w:linePitch="312" w:charSpace="0"/>
        </w:sectPr>
      </w:pPr>
      <w:r>
        <w:rPr>
          <w:rFonts w:hint="eastAsia" w:ascii="黑体" w:hAnsi="黑体" w:eastAsia="黑体" w:cs="黑体"/>
          <w:sz w:val="48"/>
          <w:szCs w:val="48"/>
        </w:rPr>
        <w:t>罗山县妇女联合会概况</w:t>
      </w:r>
    </w:p>
    <w:p>
      <w:pPr>
        <w:widowControl/>
        <w:ind w:firstLine="707" w:firstLineChars="221"/>
        <w:jc w:val="left"/>
        <w:rPr>
          <w:rFonts w:ascii="黑体" w:hAnsi="黑体" w:eastAsia="黑体" w:cs="黑体"/>
          <w:color w:val="000000"/>
          <w:kern w:val="0"/>
          <w:sz w:val="32"/>
          <w:szCs w:val="32"/>
        </w:rPr>
      </w:pPr>
      <w:r>
        <w:rPr>
          <w:rFonts w:hint="eastAsia" w:ascii="黑体" w:hAnsi="黑体" w:eastAsia="黑体" w:cs="黑体"/>
          <w:color w:val="000000"/>
          <w:kern w:val="0"/>
          <w:sz w:val="32"/>
          <w:szCs w:val="32"/>
        </w:rPr>
        <w:t>一、主要职责</w:t>
      </w:r>
    </w:p>
    <w:p>
      <w:pPr>
        <w:kinsoku w:val="0"/>
        <w:overflowPunct w:val="0"/>
        <w:adjustRightInd w:val="0"/>
        <w:snapToGrid w:val="0"/>
        <w:spacing w:line="360" w:lineRule="auto"/>
        <w:ind w:right="43" w:firstLine="707" w:firstLineChars="221"/>
        <w:jc w:val="left"/>
        <w:rPr>
          <w:rFonts w:ascii="仿宋_GB2312" w:eastAsia="仿宋_GB2312"/>
          <w:sz w:val="32"/>
          <w:szCs w:val="32"/>
        </w:rPr>
      </w:pPr>
      <w:r>
        <w:rPr>
          <w:rFonts w:hint="eastAsia" w:ascii="仿宋_GB2312" w:eastAsia="仿宋_GB2312"/>
          <w:sz w:val="32"/>
          <w:szCs w:val="32"/>
        </w:rPr>
        <w:t>（一）根据党的中心任务、指导全县各级妇联依据《中华全国妇女联合会章程》及全国和省市县妇女代表大会的决议、开展妇女儿童工作、联系团体会员并给予业务指导；</w:t>
      </w:r>
    </w:p>
    <w:p>
      <w:pPr>
        <w:kinsoku w:val="0"/>
        <w:overflowPunct w:val="0"/>
        <w:adjustRightInd w:val="0"/>
        <w:snapToGrid w:val="0"/>
        <w:spacing w:line="360" w:lineRule="auto"/>
        <w:ind w:right="43" w:firstLine="707" w:firstLineChars="221"/>
        <w:jc w:val="left"/>
        <w:rPr>
          <w:rFonts w:ascii="仿宋_GB2312" w:eastAsia="仿宋_GB2312"/>
          <w:sz w:val="32"/>
          <w:szCs w:val="32"/>
        </w:rPr>
      </w:pPr>
      <w:r>
        <w:rPr>
          <w:rFonts w:hint="eastAsia" w:ascii="仿宋_GB2312" w:eastAsia="仿宋_GB2312"/>
          <w:sz w:val="32"/>
          <w:szCs w:val="32"/>
        </w:rPr>
        <w:t>（二）调查研究全县妇女儿童的情况和问题，及时向县委县政府反映并提出建议；</w:t>
      </w:r>
    </w:p>
    <w:p>
      <w:pPr>
        <w:kinsoku w:val="0"/>
        <w:overflowPunct w:val="0"/>
        <w:adjustRightInd w:val="0"/>
        <w:snapToGrid w:val="0"/>
        <w:spacing w:line="360" w:lineRule="auto"/>
        <w:ind w:right="43" w:firstLine="707" w:firstLineChars="221"/>
        <w:jc w:val="left"/>
        <w:rPr>
          <w:rFonts w:ascii="仿宋_GB2312" w:eastAsia="仿宋_GB2312"/>
          <w:sz w:val="32"/>
          <w:szCs w:val="32"/>
        </w:rPr>
      </w:pPr>
      <w:r>
        <w:rPr>
          <w:rFonts w:hint="eastAsia" w:ascii="仿宋_GB2312" w:eastAsia="仿宋_GB2312"/>
          <w:sz w:val="32"/>
          <w:szCs w:val="32"/>
        </w:rPr>
        <w:t>（三）组织动员各族各界妇女积极投身改革开放和社会主义现代化建设事业；指导和推动全县妇女的“双学双比”、“巾帼建功”活动和“五好文明家庭”创建活动；</w:t>
      </w:r>
    </w:p>
    <w:p>
      <w:pPr>
        <w:kinsoku w:val="0"/>
        <w:overflowPunct w:val="0"/>
        <w:adjustRightInd w:val="0"/>
        <w:snapToGrid w:val="0"/>
        <w:spacing w:line="360" w:lineRule="auto"/>
        <w:ind w:right="43" w:firstLine="707" w:firstLineChars="221"/>
        <w:jc w:val="left"/>
        <w:rPr>
          <w:rFonts w:ascii="仿宋_GB2312" w:eastAsia="仿宋_GB2312"/>
          <w:sz w:val="32"/>
          <w:szCs w:val="32"/>
        </w:rPr>
      </w:pPr>
      <w:r>
        <w:rPr>
          <w:rFonts w:hint="eastAsia" w:ascii="仿宋_GB2312" w:eastAsia="仿宋_GB2312"/>
          <w:sz w:val="32"/>
          <w:szCs w:val="32"/>
        </w:rPr>
        <w:t>（四）教育和引导广大妇女增强自尊、自信、自立、自强的精神，树立和表彰各行各业先进妇女典型，开展妇女职业技术培训和多层次的妇女干部培训；</w:t>
      </w:r>
    </w:p>
    <w:p>
      <w:pPr>
        <w:kinsoku w:val="0"/>
        <w:overflowPunct w:val="0"/>
        <w:adjustRightInd w:val="0"/>
        <w:snapToGrid w:val="0"/>
        <w:spacing w:line="360" w:lineRule="auto"/>
        <w:ind w:right="43" w:firstLine="707" w:firstLineChars="221"/>
        <w:jc w:val="left"/>
        <w:rPr>
          <w:rFonts w:ascii="仿宋_GB2312" w:eastAsia="仿宋_GB2312"/>
          <w:sz w:val="32"/>
          <w:szCs w:val="32"/>
        </w:rPr>
      </w:pPr>
      <w:r>
        <w:rPr>
          <w:rFonts w:hint="eastAsia" w:ascii="仿宋_GB2312" w:eastAsia="仿宋_GB2312"/>
          <w:sz w:val="32"/>
          <w:szCs w:val="32"/>
        </w:rPr>
        <w:t>（五）代表妇女参与政府社会事务的民主管理、民主监督，促进妇女参政议政；参与制定有关妇女儿童的法规、规章，维护妇女儿童的合法权益；</w:t>
      </w:r>
    </w:p>
    <w:p>
      <w:pPr>
        <w:kinsoku w:val="0"/>
        <w:overflowPunct w:val="0"/>
        <w:adjustRightInd w:val="0"/>
        <w:snapToGrid w:val="0"/>
        <w:spacing w:line="360" w:lineRule="auto"/>
        <w:ind w:right="43" w:firstLine="707" w:firstLineChars="221"/>
        <w:jc w:val="left"/>
        <w:rPr>
          <w:rFonts w:ascii="仿宋_GB2312" w:eastAsia="仿宋_GB2312"/>
          <w:sz w:val="32"/>
          <w:szCs w:val="32"/>
        </w:rPr>
      </w:pPr>
      <w:r>
        <w:rPr>
          <w:rFonts w:hint="eastAsia" w:ascii="仿宋_GB2312" w:eastAsia="仿宋_GB2312"/>
          <w:sz w:val="32"/>
          <w:szCs w:val="32"/>
        </w:rPr>
        <w:t>（六）加强与社会各界的联系，协调和推动社会各界为妇女儿童办实事，办好事。</w:t>
      </w:r>
    </w:p>
    <w:p>
      <w:pPr>
        <w:kinsoku w:val="0"/>
        <w:overflowPunct w:val="0"/>
        <w:adjustRightInd w:val="0"/>
        <w:snapToGrid w:val="0"/>
        <w:spacing w:line="360" w:lineRule="auto"/>
        <w:ind w:right="43" w:firstLine="707" w:firstLineChars="221"/>
        <w:jc w:val="left"/>
        <w:rPr>
          <w:rFonts w:ascii="仿宋_GB2312" w:eastAsia="仿宋_GB2312"/>
          <w:sz w:val="32"/>
          <w:szCs w:val="32"/>
        </w:rPr>
      </w:pPr>
      <w:r>
        <w:rPr>
          <w:rFonts w:hint="eastAsia" w:ascii="仿宋_GB2312" w:eastAsia="仿宋_GB2312"/>
          <w:sz w:val="32"/>
          <w:szCs w:val="32"/>
        </w:rPr>
        <w:t>（七）县委县政府交办的其他事项。</w:t>
      </w:r>
    </w:p>
    <w:p>
      <w:pPr>
        <w:kinsoku w:val="0"/>
        <w:overflowPunct w:val="0"/>
        <w:adjustRightInd w:val="0"/>
        <w:snapToGrid w:val="0"/>
        <w:spacing w:line="360" w:lineRule="auto"/>
        <w:ind w:right="43" w:firstLine="707" w:firstLineChars="221"/>
        <w:jc w:val="left"/>
        <w:rPr>
          <w:rFonts w:ascii="仿宋_GB2312" w:eastAsia="仿宋_GB2312"/>
          <w:sz w:val="32"/>
          <w:szCs w:val="32"/>
        </w:rPr>
      </w:pPr>
      <w:r>
        <w:rPr>
          <w:rFonts w:hint="eastAsia" w:ascii="仿宋" w:hAnsi="仿宋" w:eastAsia="仿宋" w:cs="仿宋_GB2312"/>
          <w:sz w:val="32"/>
          <w:szCs w:val="32"/>
        </w:rPr>
        <w:t>（八）承办县政府交办的其它事项。</w:t>
      </w:r>
    </w:p>
    <w:p>
      <w:pPr>
        <w:widowControl/>
        <w:ind w:firstLine="640" w:firstLineChars="200"/>
        <w:jc w:val="left"/>
        <w:rPr>
          <w:rFonts w:ascii="黑体" w:hAnsi="黑体" w:eastAsia="黑体" w:cs="黑体"/>
          <w:color w:val="000000"/>
          <w:kern w:val="0"/>
          <w:sz w:val="32"/>
          <w:szCs w:val="32"/>
        </w:rPr>
      </w:pPr>
      <w:r>
        <w:rPr>
          <w:rFonts w:hint="eastAsia" w:ascii="黑体" w:hAnsi="黑体" w:eastAsia="黑体" w:cs="黑体"/>
          <w:color w:val="000000"/>
          <w:kern w:val="0"/>
          <w:sz w:val="32"/>
          <w:szCs w:val="32"/>
        </w:rPr>
        <w:t>二、机构设置及部门决算单位构成</w:t>
      </w:r>
    </w:p>
    <w:p>
      <w:pPr>
        <w:kinsoku w:val="0"/>
        <w:overflowPunct w:val="0"/>
        <w:adjustRightInd w:val="0"/>
        <w:snapToGrid w:val="0"/>
        <w:spacing w:line="360" w:lineRule="auto"/>
        <w:ind w:right="43" w:firstLine="707" w:firstLineChars="221"/>
        <w:jc w:val="left"/>
        <w:rPr>
          <w:rFonts w:ascii="仿宋_GB2312" w:eastAsia="仿宋_GB2312"/>
          <w:sz w:val="32"/>
          <w:szCs w:val="32"/>
        </w:rPr>
      </w:pPr>
      <w:r>
        <w:rPr>
          <w:rFonts w:hint="eastAsia" w:ascii="仿宋" w:hAnsi="仿宋" w:eastAsia="仿宋" w:cs="仿宋_GB2312"/>
          <w:sz w:val="32"/>
          <w:szCs w:val="32"/>
        </w:rPr>
        <w:t>罗山县妇女联合会内设办公室、组织宣传部、城乡工作部及老干部活动中心。本预算单位构成仅限于罗山县妇女联合会，无二级单位及其他单位构成。</w:t>
      </w:r>
    </w:p>
    <w:p>
      <w:pPr>
        <w:widowControl/>
        <w:jc w:val="left"/>
        <w:rPr>
          <w:rFonts w:ascii="黑体" w:hAnsi="宋体" w:eastAsia="黑体" w:cs="宋体"/>
          <w:color w:val="000000"/>
          <w:kern w:val="0"/>
          <w:sz w:val="28"/>
          <w:szCs w:val="28"/>
        </w:rPr>
      </w:pPr>
    </w:p>
    <w:p>
      <w:pPr>
        <w:widowControl/>
        <w:jc w:val="left"/>
        <w:rPr>
          <w:rFonts w:ascii="黑体" w:hAnsi="宋体" w:eastAsia="黑体" w:cs="宋体"/>
          <w:color w:val="000000"/>
          <w:kern w:val="0"/>
          <w:sz w:val="28"/>
          <w:szCs w:val="28"/>
        </w:rPr>
      </w:pPr>
    </w:p>
    <w:p>
      <w:pPr>
        <w:widowControl/>
        <w:jc w:val="left"/>
        <w:rPr>
          <w:rFonts w:ascii="黑体" w:hAnsi="宋体" w:eastAsia="黑体" w:cs="宋体"/>
          <w:color w:val="000000"/>
          <w:kern w:val="0"/>
          <w:sz w:val="28"/>
          <w:szCs w:val="28"/>
        </w:rPr>
      </w:pPr>
    </w:p>
    <w:p>
      <w:pPr>
        <w:widowControl/>
        <w:jc w:val="left"/>
        <w:rPr>
          <w:rFonts w:ascii="黑体" w:hAnsi="宋体" w:eastAsia="黑体" w:cs="宋体"/>
          <w:color w:val="000000"/>
          <w:kern w:val="0"/>
          <w:sz w:val="28"/>
          <w:szCs w:val="28"/>
        </w:rPr>
      </w:pPr>
    </w:p>
    <w:p>
      <w:pPr>
        <w:widowControl/>
        <w:jc w:val="left"/>
        <w:rPr>
          <w:rFonts w:ascii="黑体" w:hAnsi="宋体" w:eastAsia="黑体" w:cs="宋体"/>
          <w:color w:val="000000"/>
          <w:kern w:val="0"/>
          <w:sz w:val="28"/>
          <w:szCs w:val="28"/>
        </w:rPr>
      </w:pPr>
    </w:p>
    <w:p>
      <w:pPr>
        <w:widowControl/>
        <w:jc w:val="left"/>
        <w:rPr>
          <w:rFonts w:ascii="黑体" w:hAnsi="宋体" w:eastAsia="黑体" w:cs="宋体"/>
          <w:color w:val="000000"/>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第二部分</w:t>
      </w:r>
    </w:p>
    <w:p>
      <w:pPr>
        <w:jc w:val="center"/>
        <w:rPr>
          <w:rFonts w:ascii="黑体" w:hAnsi="黑体" w:eastAsia="黑体" w:cs="黑体"/>
          <w:sz w:val="48"/>
          <w:szCs w:val="48"/>
        </w:rPr>
      </w:pPr>
      <w:r>
        <w:rPr>
          <w:rFonts w:hint="eastAsia" w:ascii="黑体" w:hAnsi="黑体" w:eastAsia="黑体" w:cs="黑体"/>
          <w:sz w:val="48"/>
          <w:szCs w:val="48"/>
        </w:rPr>
        <w:t>罗山县妇女联合会</w:t>
      </w:r>
    </w:p>
    <w:p>
      <w:pPr>
        <w:jc w:val="center"/>
        <w:rPr>
          <w:rFonts w:ascii="黑体" w:hAnsi="黑体" w:eastAsia="黑体" w:cs="黑体"/>
          <w:sz w:val="48"/>
          <w:szCs w:val="48"/>
        </w:rPr>
      </w:pPr>
      <w:r>
        <w:rPr>
          <w:rFonts w:hint="eastAsia" w:ascii="黑体" w:hAnsi="黑体" w:eastAsia="黑体" w:cs="黑体"/>
          <w:sz w:val="48"/>
          <w:szCs w:val="48"/>
        </w:rPr>
        <w:t>2017年度部门决算情况说明</w:t>
      </w:r>
    </w:p>
    <w:p>
      <w:pPr>
        <w:widowControl/>
        <w:jc w:val="left"/>
        <w:rPr>
          <w:rFonts w:ascii="黑体" w:hAnsi="黑体" w:eastAsia="黑体" w:cs="黑体"/>
          <w:sz w:val="48"/>
          <w:szCs w:val="48"/>
        </w:rPr>
        <w:sectPr>
          <w:pgSz w:w="11906" w:h="16838"/>
          <w:pgMar w:top="1440" w:right="1800" w:bottom="1135" w:left="1800" w:header="720" w:footer="720" w:gutter="0"/>
          <w:cols w:space="720" w:num="1"/>
          <w:docGrid w:type="lines" w:linePitch="312" w:charSpace="0"/>
        </w:sectPr>
      </w:pPr>
    </w:p>
    <w:p>
      <w:pPr>
        <w:widowControl/>
        <w:ind w:firstLine="640" w:firstLineChars="200"/>
        <w:jc w:val="left"/>
        <w:rPr>
          <w:rFonts w:ascii="黑体" w:hAnsi="黑体" w:eastAsia="黑体" w:cs="黑体"/>
          <w:sz w:val="32"/>
          <w:szCs w:val="32"/>
        </w:rPr>
      </w:pPr>
      <w:r>
        <w:rPr>
          <w:rFonts w:hint="eastAsia" w:ascii="黑体" w:hAnsi="黑体" w:eastAsia="黑体" w:cs="黑体"/>
          <w:sz w:val="32"/>
          <w:szCs w:val="32"/>
        </w:rPr>
        <w:t>一、关于收入支出决算总体情况说明</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2017年度收入总计317.53万元，支出总计145.74万元，与2016年相比，收入增加278.33万元、增长710%。收入变动的主要原因是：养老保险体制改革，人员经费增加，同时上级主管部门实施民生工程，加大了对新生儿筛查及农村妇女两癌免费检查项目经费有投入力度。支出变动的主要原因：人员经费增加、单位开展扶贫工作派驻驻村第一书记经费及新生儿筛查及农村妇女两癌免费检查项目增加经费。</w:t>
      </w:r>
    </w:p>
    <w:p>
      <w:pPr>
        <w:widowControl/>
        <w:ind w:firstLine="640" w:firstLineChars="200"/>
        <w:jc w:val="left"/>
        <w:rPr>
          <w:rFonts w:ascii="黑体" w:hAnsi="黑体" w:eastAsia="黑体" w:cs="黑体"/>
          <w:sz w:val="32"/>
          <w:szCs w:val="32"/>
        </w:rPr>
      </w:pPr>
      <w:r>
        <w:rPr>
          <w:rFonts w:hint="eastAsia" w:ascii="黑体" w:hAnsi="黑体" w:eastAsia="黑体" w:cs="黑体"/>
          <w:sz w:val="32"/>
          <w:szCs w:val="32"/>
        </w:rPr>
        <w:t>二、关于收入决算情况说明</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2017年度收入合计317.53万元，其中：财政拨款收入317.53万元，占100%；事业收入0万元，占0%；经营收入0万元，占0%；其他收入0万元，占0%。</w:t>
      </w:r>
    </w:p>
    <w:p>
      <w:pPr>
        <w:widowControl/>
        <w:ind w:firstLine="640" w:firstLineChars="200"/>
        <w:jc w:val="left"/>
        <w:rPr>
          <w:rFonts w:ascii="黑体" w:hAnsi="黑体" w:eastAsia="黑体" w:cs="黑体"/>
          <w:sz w:val="32"/>
          <w:szCs w:val="32"/>
        </w:rPr>
      </w:pPr>
      <w:r>
        <w:rPr>
          <w:rFonts w:hint="eastAsia" w:ascii="黑体" w:hAnsi="黑体" w:eastAsia="黑体" w:cs="黑体"/>
          <w:sz w:val="32"/>
          <w:szCs w:val="32"/>
        </w:rPr>
        <w:t>三、关于支出决算情况说明</w:t>
      </w:r>
    </w:p>
    <w:p>
      <w:pPr>
        <w:widowControl/>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2017年度支出合计145.73万元，其中：基本支出65.73万元，占45.11%；项目支出80万元，占54.89%。</w:t>
      </w:r>
    </w:p>
    <w:p>
      <w:pPr>
        <w:widowControl/>
        <w:ind w:firstLine="640" w:firstLineChars="200"/>
        <w:jc w:val="left"/>
        <w:rPr>
          <w:rFonts w:ascii="黑体" w:hAnsi="黑体" w:eastAsia="黑体" w:cs="黑体"/>
          <w:sz w:val="32"/>
          <w:szCs w:val="32"/>
        </w:rPr>
      </w:pPr>
      <w:r>
        <w:rPr>
          <w:rFonts w:hint="eastAsia" w:ascii="黑体" w:hAnsi="黑体" w:eastAsia="黑体" w:cs="黑体"/>
          <w:sz w:val="32"/>
          <w:szCs w:val="32"/>
        </w:rPr>
        <w:t>四、关于财政拨款收入支出决算总体情况说明</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2017年度收入总计317.53万元，支出总计145.74万元，与2016年相比，收入增加278.33万元、增长710%。收入变动的主要原因是：养老保险体制改革，人员经费增加，同时上级主管部门实施民生工程，加大了新生儿筛查及农村妇女两癌免费检查项目经费的投入力度。支出变动的主要原因：人员经费增加、单位开展扶贫工作派驻驻村第一书记经费及新生儿筛查及农村妇女两癌免费检查项目增加经费。</w:t>
      </w:r>
    </w:p>
    <w:p>
      <w:pPr>
        <w:widowControl/>
        <w:ind w:firstLine="640" w:firstLineChars="200"/>
        <w:rPr>
          <w:rFonts w:ascii="黑体" w:hAnsi="黑体" w:eastAsia="黑体" w:cs="黑体"/>
          <w:sz w:val="32"/>
          <w:szCs w:val="32"/>
        </w:rPr>
      </w:pPr>
      <w:r>
        <w:rPr>
          <w:rFonts w:hint="eastAsia" w:ascii="黑体" w:hAnsi="黑体" w:eastAsia="黑体" w:cs="黑体"/>
          <w:sz w:val="32"/>
          <w:szCs w:val="32"/>
        </w:rPr>
        <w:t>五、关于一般公共预算财政拨款支出决算情况说明</w:t>
      </w:r>
    </w:p>
    <w:p>
      <w:pPr>
        <w:widowControl/>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（一）财政拨款支出决算总体情况。</w:t>
      </w:r>
    </w:p>
    <w:p>
      <w:pPr>
        <w:widowControl/>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2017年一般公共预算财政拨款支出65.73万元，占支出合计的45.11%。与2016年相比，一般公共预算财政拨款支出增加26.53万元。支出变动的主要原因：财政兑现2014年10月至2016年10月单位人员工资及全民参保、公务员兑现车补、单位开展扶贫工作派驻驻村第一书记经费及新生儿筛查及农村妇女两癌免费检查项目增加经费。</w:t>
      </w:r>
    </w:p>
    <w:p>
      <w:pPr>
        <w:widowControl/>
        <w:ind w:firstLine="640" w:firstLineChars="200"/>
        <w:rPr>
          <w:rFonts w:ascii="楷体_GB2312" w:hAnsi="楷体_GB2312" w:eastAsia="楷体_GB2312" w:cs="楷体_GB2312"/>
          <w:color w:val="000000" w:themeColor="text1"/>
          <w:sz w:val="32"/>
          <w:szCs w:val="32"/>
        </w:rPr>
      </w:pPr>
      <w:r>
        <w:rPr>
          <w:rFonts w:hint="eastAsia" w:ascii="楷体_GB2312" w:hAnsi="楷体_GB2312" w:eastAsia="楷体_GB2312" w:cs="楷体_GB2312"/>
          <w:color w:val="000000" w:themeColor="text1"/>
          <w:sz w:val="32"/>
          <w:szCs w:val="32"/>
        </w:rPr>
        <w:t>（二）财政拨款支出决算结构情况。</w:t>
      </w:r>
    </w:p>
    <w:p>
      <w:pPr>
        <w:widowControl/>
        <w:ind w:firstLine="640" w:firstLineChars="200"/>
        <w:jc w:val="lef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2017年度一般公共预算财政拨款支出145.74万元，主要用于以下方面：一般公共服务（类）支出65.73万元，占45.11%；医疗卫生与计划支出——公共卫生——其他公共卫生支出80万元，占54.89%。</w:t>
      </w:r>
    </w:p>
    <w:p>
      <w:pPr>
        <w:widowControl/>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color w:val="000000" w:themeColor="text1"/>
          <w:sz w:val="32"/>
          <w:szCs w:val="32"/>
        </w:rPr>
        <w:t>（三）财政拨款支出决算具体情况</w:t>
      </w:r>
      <w:r>
        <w:rPr>
          <w:rFonts w:hint="eastAsia" w:ascii="楷体_GB2312" w:hAnsi="楷体_GB2312" w:eastAsia="楷体_GB2312" w:cs="楷体_GB2312"/>
          <w:sz w:val="32"/>
          <w:szCs w:val="32"/>
        </w:rPr>
        <w:t>。</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2017年度一般公共预算财政拨款支出年初预算为73.26万元，支出决算为73.26万元，完成年初预算的100%。其中：</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1．一般公共服务（类）财政事务（款）行政运行（项）。年初预算为73.26万元，支出决算为73.26万元，完成年初预算的100%。</w:t>
      </w:r>
    </w:p>
    <w:p>
      <w:pPr>
        <w:widowControl/>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sz w:val="32"/>
          <w:szCs w:val="32"/>
        </w:rPr>
        <w:t>2．其他公共卫生支出及一般公共服务支出年初预算为</w:t>
      </w:r>
      <w:r>
        <w:rPr>
          <w:rFonts w:hint="eastAsia" w:ascii="仿宋_GB2312" w:hAnsi="仿宋_GB2312" w:eastAsia="仿宋_GB2312" w:cs="仿宋_GB2312"/>
          <w:color w:val="000000" w:themeColor="text1"/>
          <w:sz w:val="32"/>
          <w:szCs w:val="32"/>
        </w:rPr>
        <w:t>242万元，支出决算为80万元，完成年初预算的33%。</w:t>
      </w:r>
    </w:p>
    <w:p>
      <w:pPr>
        <w:widowControl/>
        <w:ind w:firstLine="640" w:firstLineChars="200"/>
        <w:jc w:val="left"/>
        <w:rPr>
          <w:rFonts w:ascii="黑体" w:hAnsi="黑体" w:eastAsia="黑体" w:cs="黑体"/>
          <w:sz w:val="32"/>
          <w:szCs w:val="32"/>
        </w:rPr>
      </w:pPr>
      <w:r>
        <w:rPr>
          <w:rFonts w:hint="eastAsia" w:ascii="黑体" w:hAnsi="黑体" w:eastAsia="黑体" w:cs="黑体"/>
          <w:sz w:val="32"/>
          <w:szCs w:val="32"/>
        </w:rPr>
        <w:t>六、关于一般公共预算财政拨款基本支出决算情况说明</w:t>
      </w:r>
    </w:p>
    <w:p>
      <w:pPr>
        <w:widowControl/>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2017年一般公共预算财政拨款基本支出65.73万元，其中：人员经费64.16万元，主要包括：基本工资、津贴补贴、伙食补助费、绩效工资、社会保障缴费、伙食补助费、绩效工资、其他工资福利 支出、离休费、退休费、退职（役）费、抚恤金、生活补助、 医疗费、助学金、奖励金、住房公积金、提租补贴、购房补贴、 其他对个人和家庭的补助支出；公用经费1.57万元，主要包括：办公费、印刷费、咨询费、手续费、水费、电费、邮电费、差旅费、维修（护）费、租赁费、公务接待费、劳务费、工会经费、公务用车运行维护费、税金及附加费用、其他商品和服务支出、其他资本性支出。与2016年相比，一般公共预算财政拨款基本支出增加26.53万元。变动的主要原因：财政兑现2014年10月至2016年10月单位人员工资及全民参保、公务员兑现车补、单位开展扶贫工作派驻驻村第一书记经费。</w:t>
      </w:r>
    </w:p>
    <w:p>
      <w:pPr>
        <w:widowControl/>
        <w:ind w:firstLine="640" w:firstLineChars="200"/>
        <w:jc w:val="left"/>
        <w:rPr>
          <w:rFonts w:ascii="黑体" w:hAnsi="黑体" w:eastAsia="黑体" w:cs="黑体"/>
          <w:sz w:val="32"/>
          <w:szCs w:val="32"/>
        </w:rPr>
      </w:pPr>
      <w:r>
        <w:rPr>
          <w:rFonts w:hint="eastAsia" w:ascii="黑体" w:hAnsi="黑体" w:eastAsia="黑体" w:cs="黑体"/>
          <w:sz w:val="32"/>
          <w:szCs w:val="32"/>
        </w:rPr>
        <w:t>七、关于一般公共预算财政拨款“三公”经费支出决算情况说明</w:t>
      </w:r>
    </w:p>
    <w:p>
      <w:pPr>
        <w:widowControl/>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（一）“三公”经费财政拨款支出决算总体情况说明。</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2017年度“三公”经费财政拨款支出预算为0.25万元，支出决算为0.21万元，完成预算的84%，其中：因公出国（境）费支出决算为0万元，完成预算的0%；公务用车购置及运行费支出决算为0万元，完成预算的0%；公务接待费支出决算为0.21万元，完成预算的84%。2017年度“三公”经费支出决算数与预算数存在差异的主要原因是坚持厉行节约、避免铺张浪费的原则，严格遵守中央八项规定。</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2017年度“三公”经费财政拨款支出决算数比2016年减少0.05万元，下降1.64%，其中：因公出国（境）费支出决算减少0万元，下降0%；公务用车购置及运行费支出决算增加0万元，增长0%，（无公车）；公务接待费支出决算减少0.05万元，下降1.64%。公务接待费支出减少的主要原因是坚持厉行节约、避免铺张浪费的原则，严格遵守中央八项规定。</w:t>
      </w:r>
    </w:p>
    <w:p>
      <w:pPr>
        <w:widowControl/>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（二）“三公”经费财政拨款支出决算具体情况说明。</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2017年度“三公”经费财政拨款支出决算中，因公出国（境）费支出决算0万元，占0%；公务用车购置及运行费支出决算0万元，占0%；公务接待费支出决算0.21万元，占100%。具体情况如下：</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1．因公出国（境）费支出0万元。全年未安排单位因公出国（境）。</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2．公务用车购置及运行费支出0万元。其中：</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公务用车购置支出为0万元。</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公务用车运行支出0万元。主要用于过桥过路费、停车费、汽油费。2017年期末，罗山县罗山县妇女联合会财政拨款公务用车保有量为0辆，单位无公车。</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3．公务接待费支出0.21万元。主要用于上级视察检查及三八节六一儿童节开展活动的公务接待。罗山县妇女联合会2017年度共接待国内来访团组8个、来访人员50人次（不包括陪同人员）。</w:t>
      </w:r>
    </w:p>
    <w:p>
      <w:pPr>
        <w:widowControl/>
        <w:ind w:firstLine="640" w:firstLineChars="200"/>
        <w:jc w:val="left"/>
        <w:rPr>
          <w:rFonts w:ascii="黑体" w:hAnsi="黑体" w:eastAsia="黑体" w:cs="黑体"/>
          <w:sz w:val="32"/>
          <w:szCs w:val="32"/>
        </w:rPr>
      </w:pPr>
      <w:r>
        <w:rPr>
          <w:rFonts w:hint="eastAsia" w:ascii="黑体" w:hAnsi="黑体" w:eastAsia="黑体" w:cs="黑体"/>
          <w:sz w:val="32"/>
          <w:szCs w:val="32"/>
        </w:rPr>
        <w:t>八、关于政府性基金预算财政拨款支出决算情况说明</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2017年度政府性基金预算财政拨款支出年初预算为0万元，支出决算为0万元。</w:t>
      </w:r>
    </w:p>
    <w:p>
      <w:pPr>
        <w:widowControl/>
        <w:ind w:firstLine="640" w:firstLineChars="200"/>
        <w:jc w:val="left"/>
        <w:rPr>
          <w:rFonts w:ascii="黑体" w:hAnsi="黑体" w:eastAsia="黑体" w:cs="黑体"/>
          <w:b/>
          <w:sz w:val="32"/>
          <w:szCs w:val="32"/>
        </w:rPr>
      </w:pPr>
      <w:r>
        <w:rPr>
          <w:rFonts w:hint="eastAsia" w:ascii="黑体" w:hAnsi="黑体" w:eastAsia="黑体" w:cs="黑体"/>
          <w:sz w:val="32"/>
          <w:szCs w:val="32"/>
        </w:rPr>
        <w:t>九、</w:t>
      </w:r>
      <w:r>
        <w:rPr>
          <w:rFonts w:hint="eastAsia" w:ascii="黑体" w:hAnsi="黑体" w:eastAsia="黑体" w:cs="黑体"/>
          <w:b/>
          <w:sz w:val="32"/>
          <w:szCs w:val="32"/>
        </w:rPr>
        <w:t>国有资产占用情况说明。</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2017年期末，罗山县妇女联合会无公车。单位价值50万元以上通用设备0台（套），单位价值100万元以上专用设备0台（套）。</w:t>
      </w:r>
    </w:p>
    <w:p>
      <w:pPr>
        <w:widowControl/>
        <w:ind w:firstLine="640" w:firstLineChars="200"/>
        <w:jc w:val="left"/>
        <w:rPr>
          <w:rFonts w:ascii="楷体" w:hAnsi="楷体" w:eastAsia="楷体" w:cs="黑体"/>
          <w:sz w:val="32"/>
          <w:szCs w:val="32"/>
        </w:rPr>
      </w:pPr>
      <w:r>
        <w:rPr>
          <w:rFonts w:hint="eastAsia" w:ascii="楷体" w:hAnsi="楷体" w:eastAsia="楷体" w:cs="黑体"/>
          <w:sz w:val="32"/>
          <w:szCs w:val="32"/>
        </w:rPr>
        <w:t>罗山县妇女联合会有固定资产32927元，全部为单位办公桌椅及电脑打印机等办公设备。</w:t>
      </w:r>
    </w:p>
    <w:p>
      <w:pPr>
        <w:widowControl/>
        <w:ind w:firstLine="643" w:firstLineChars="200"/>
        <w:jc w:val="left"/>
        <w:rPr>
          <w:rFonts w:ascii="楷体" w:hAnsi="楷体" w:eastAsia="楷体" w:cs="黑体"/>
          <w:b/>
          <w:sz w:val="32"/>
          <w:szCs w:val="32"/>
        </w:rPr>
      </w:pPr>
      <w:r>
        <w:rPr>
          <w:rFonts w:hint="eastAsia" w:ascii="楷体_GB2312" w:hAnsi="楷体_GB2312" w:eastAsia="楷体_GB2312" w:cs="楷体_GB2312"/>
          <w:b/>
          <w:sz w:val="32"/>
          <w:szCs w:val="32"/>
        </w:rPr>
        <w:t>十、</w:t>
      </w:r>
      <w:r>
        <w:rPr>
          <w:rFonts w:hint="eastAsia" w:ascii="黑体" w:hAnsi="黑体" w:eastAsia="黑体" w:cs="黑体"/>
          <w:sz w:val="32"/>
          <w:szCs w:val="32"/>
        </w:rPr>
        <w:t>关于重点项目预算绩效情况说明</w:t>
      </w:r>
    </w:p>
    <w:p>
      <w:pPr>
        <w:widowControl/>
        <w:ind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widowControl/>
        <w:ind w:firstLine="800" w:firstLineChars="2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结合县财政预算绩效管理，出台了相应的制度规定；初步设立了绩效管理的理念；同时也提高了财政资金的使用效益。</w:t>
      </w:r>
    </w:p>
    <w:p>
      <w:pPr>
        <w:widowControl/>
        <w:ind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（二）项目绩效自评结果。</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2017年，罗山县妇女联合会无重点项目预算的绩效评价。</w:t>
      </w:r>
    </w:p>
    <w:p>
      <w:pPr>
        <w:widowControl/>
        <w:ind w:firstLine="640" w:firstLineChars="200"/>
        <w:jc w:val="left"/>
        <w:rPr>
          <w:rFonts w:ascii="黑体" w:hAnsi="黑体" w:eastAsia="黑体" w:cs="黑体"/>
          <w:sz w:val="32"/>
          <w:szCs w:val="32"/>
        </w:rPr>
      </w:pPr>
      <w:r>
        <w:rPr>
          <w:rFonts w:hint="eastAsia" w:ascii="黑体" w:hAnsi="黑体" w:eastAsia="黑体" w:cs="黑体"/>
          <w:sz w:val="32"/>
          <w:szCs w:val="32"/>
        </w:rPr>
        <w:t>十一、其他重要事项的情况说明</w:t>
      </w:r>
    </w:p>
    <w:p>
      <w:pPr>
        <w:widowControl/>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（一）机关运行经费支出情况。</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2017年度机关运行经费支出1.57万元，比2016年减少0.25万元，下降15.9%。变动的主要原因是：厉行节约的办公原则。</w:t>
      </w:r>
    </w:p>
    <w:p>
      <w:pPr>
        <w:widowControl/>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（二）政府采购支出情况。</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2017年度政府采购支出总额0万元，其中：政府采购货物支出10万元。</w:t>
      </w: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ascii="黑体" w:hAnsi="黑体" w:eastAsia="黑体" w:cs="黑体"/>
          <w:sz w:val="48"/>
          <w:szCs w:val="48"/>
        </w:rPr>
      </w:pPr>
      <w:r>
        <w:rPr>
          <w:rFonts w:hint="eastAsia" w:ascii="黑体" w:hAnsi="黑体" w:eastAsia="黑体" w:cs="黑体"/>
          <w:sz w:val="48"/>
          <w:szCs w:val="48"/>
        </w:rPr>
        <w:t>第三部分　　</w:t>
      </w:r>
    </w:p>
    <w:p>
      <w:pPr>
        <w:jc w:val="center"/>
        <w:outlineLvl w:val="0"/>
        <w:rPr>
          <w:rFonts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48"/>
          <w:szCs w:val="48"/>
        </w:rPr>
        <w:t>罗山县妇女联合会部门决算名词解释</w:t>
      </w:r>
      <w:bookmarkStart w:id="0" w:name="_GoBack"/>
      <w:bookmarkEnd w:id="0"/>
    </w:p>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一、财政拨款收入：单位从同级政府财政部门取得的各类财政拨款。</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六、其他收入：单位取得的除“财政拨款收入”、“事业收入”、“上级补助收入”、“附属单位上缴收入”、“经营收入”等以外的收入。</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0.35pt;width:4.55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- 10 -</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A19B9"/>
    <w:rsid w:val="0002218E"/>
    <w:rsid w:val="000506EA"/>
    <w:rsid w:val="00077C30"/>
    <w:rsid w:val="00092777"/>
    <w:rsid w:val="000E7C70"/>
    <w:rsid w:val="000F0FDC"/>
    <w:rsid w:val="00101694"/>
    <w:rsid w:val="00123117"/>
    <w:rsid w:val="00125EE3"/>
    <w:rsid w:val="00227AC0"/>
    <w:rsid w:val="00231C76"/>
    <w:rsid w:val="00234064"/>
    <w:rsid w:val="0024342E"/>
    <w:rsid w:val="002C66A0"/>
    <w:rsid w:val="002C7A33"/>
    <w:rsid w:val="00315897"/>
    <w:rsid w:val="003A5797"/>
    <w:rsid w:val="003A6C37"/>
    <w:rsid w:val="003B31F4"/>
    <w:rsid w:val="004432CB"/>
    <w:rsid w:val="00450698"/>
    <w:rsid w:val="00453F05"/>
    <w:rsid w:val="0045482D"/>
    <w:rsid w:val="004D027E"/>
    <w:rsid w:val="004D06BA"/>
    <w:rsid w:val="004E6701"/>
    <w:rsid w:val="004F3E1E"/>
    <w:rsid w:val="005273A7"/>
    <w:rsid w:val="005358F9"/>
    <w:rsid w:val="00575B41"/>
    <w:rsid w:val="005A0676"/>
    <w:rsid w:val="005A4230"/>
    <w:rsid w:val="005B2848"/>
    <w:rsid w:val="005E67E6"/>
    <w:rsid w:val="006015F1"/>
    <w:rsid w:val="00615293"/>
    <w:rsid w:val="006355BB"/>
    <w:rsid w:val="0067252F"/>
    <w:rsid w:val="006B080A"/>
    <w:rsid w:val="007035DC"/>
    <w:rsid w:val="007204F1"/>
    <w:rsid w:val="00732474"/>
    <w:rsid w:val="007822E8"/>
    <w:rsid w:val="0079432F"/>
    <w:rsid w:val="007B03DA"/>
    <w:rsid w:val="00811AC0"/>
    <w:rsid w:val="00831304"/>
    <w:rsid w:val="008416AA"/>
    <w:rsid w:val="00855BFA"/>
    <w:rsid w:val="008F2F17"/>
    <w:rsid w:val="009039F9"/>
    <w:rsid w:val="0096099C"/>
    <w:rsid w:val="009925AA"/>
    <w:rsid w:val="009C7F38"/>
    <w:rsid w:val="009F4B93"/>
    <w:rsid w:val="00A50A73"/>
    <w:rsid w:val="00A52AB8"/>
    <w:rsid w:val="00A62D8D"/>
    <w:rsid w:val="00AD17B7"/>
    <w:rsid w:val="00B25CB9"/>
    <w:rsid w:val="00B2624C"/>
    <w:rsid w:val="00B270AB"/>
    <w:rsid w:val="00B838FB"/>
    <w:rsid w:val="00BA5956"/>
    <w:rsid w:val="00BA72D4"/>
    <w:rsid w:val="00BB076F"/>
    <w:rsid w:val="00BD6736"/>
    <w:rsid w:val="00BE5F2B"/>
    <w:rsid w:val="00C16BC0"/>
    <w:rsid w:val="00D33420"/>
    <w:rsid w:val="00DA19B9"/>
    <w:rsid w:val="00E11293"/>
    <w:rsid w:val="00E8185B"/>
    <w:rsid w:val="00E81DD2"/>
    <w:rsid w:val="00EA470E"/>
    <w:rsid w:val="00EC2234"/>
    <w:rsid w:val="00EC4E51"/>
    <w:rsid w:val="00F761F5"/>
    <w:rsid w:val="069972D8"/>
    <w:rsid w:val="15851F2B"/>
    <w:rsid w:val="59C214D9"/>
    <w:rsid w:val="73336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0"/>
    <w:qFormat/>
    <w:uiPriority w:val="99"/>
    <w:pPr>
      <w:autoSpaceDE w:val="0"/>
      <w:autoSpaceDN w:val="0"/>
      <w:adjustRightInd w:val="0"/>
      <w:ind w:left="761"/>
      <w:jc w:val="left"/>
    </w:pPr>
    <w:rPr>
      <w:rFonts w:ascii="仿宋_GB2312" w:hAnsi="Calibri" w:eastAsia="仿宋_GB2312" w:cs="仿宋_GB2312"/>
      <w:kern w:val="0"/>
      <w:sz w:val="32"/>
      <w:szCs w:val="32"/>
    </w:rPr>
  </w:style>
  <w:style w:type="paragraph" w:styleId="3">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link w:val="3"/>
    <w:qFormat/>
    <w:uiPriority w:val="99"/>
    <w:rPr>
      <w:sz w:val="18"/>
      <w:szCs w:val="18"/>
    </w:rPr>
  </w:style>
  <w:style w:type="character" w:customStyle="1" w:styleId="8">
    <w:name w:val="页脚 Char1"/>
    <w:basedOn w:val="5"/>
    <w:semiHidden/>
    <w:uiPriority w:val="99"/>
    <w:rPr>
      <w:rFonts w:ascii="Times New Roman" w:hAnsi="Times New Roman" w:eastAsia="宋体" w:cs="Times New Roman"/>
      <w:sz w:val="18"/>
      <w:szCs w:val="18"/>
    </w:rPr>
  </w:style>
  <w:style w:type="character" w:customStyle="1" w:styleId="9">
    <w:name w:val="页眉 Char"/>
    <w:basedOn w:val="5"/>
    <w:link w:val="4"/>
    <w:uiPriority w:val="99"/>
    <w:rPr>
      <w:rFonts w:ascii="Times New Roman" w:hAnsi="Times New Roman" w:eastAsia="宋体" w:cs="Times New Roman"/>
      <w:sz w:val="18"/>
      <w:szCs w:val="18"/>
    </w:rPr>
  </w:style>
  <w:style w:type="character" w:customStyle="1" w:styleId="10">
    <w:name w:val="正文文本 Char"/>
    <w:basedOn w:val="5"/>
    <w:link w:val="2"/>
    <w:qFormat/>
    <w:uiPriority w:val="99"/>
    <w:rPr>
      <w:rFonts w:ascii="仿宋_GB2312" w:hAnsi="Calibri" w:eastAsia="仿宋_GB2312" w:cs="仿宋_GB2312"/>
      <w:kern w:val="0"/>
      <w:sz w:val="32"/>
      <w:szCs w:val="32"/>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691</Words>
  <Characters>3945</Characters>
  <Lines>32</Lines>
  <Paragraphs>9</Paragraphs>
  <TotalTime>17</TotalTime>
  <ScaleCrop>false</ScaleCrop>
  <LinksUpToDate>false</LinksUpToDate>
  <CharactersWithSpaces>4627</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2018-09-21T14:00:00Z</dcterms:created>
  <dc:creator>Administrator</dc:creator>
  <cp:lastModifiedBy>Administrator</cp:lastModifiedBy>
  <cp:lastPrinted>2019-01-18T06:39:58Z</cp:lastPrinted>
  <dcterms:modified xsi:type="dcterms:W3CDTF">2019-01-18T06:41:23Z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