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lang w:val="en-US" w:eastAsia="zh-CN"/>
        </w:rPr>
        <w:t>朱堂乡</w:t>
      </w:r>
      <w:r>
        <w:rPr>
          <w:rFonts w:hint="eastAsia" w:ascii="方正小标宋简体" w:hAnsi="方正小标宋简体" w:eastAsia="方正小标宋简体" w:cs="方正小标宋简体"/>
        </w:rPr>
        <w:t>政府</w:t>
      </w:r>
      <w:r>
        <w:rPr>
          <w:rFonts w:hint="eastAsia" w:ascii="方正小标宋简体" w:hAnsi="方正小标宋简体" w:eastAsia="方正小标宋简体" w:cs="方正小标宋简体"/>
          <w:lang w:val="en-US" w:eastAsia="zh-CN"/>
        </w:rPr>
        <w:t>2019年</w:t>
      </w:r>
      <w:r>
        <w:rPr>
          <w:rFonts w:hint="eastAsia" w:ascii="方正小标宋简体" w:hAnsi="方正小标宋简体" w:eastAsia="方正小标宋简体" w:cs="方正小标宋简体"/>
        </w:rPr>
        <w:t>信息公开工作年度报告</w:t>
      </w:r>
    </w:p>
    <w:p>
      <w:pPr>
        <w:rPr>
          <w:rFonts w:hint="eastAsia" w:ascii="黑体" w:hAnsi="黑体" w:eastAsia="黑体" w:cs="黑体"/>
          <w:lang w:val="en-US" w:eastAsia="zh-CN"/>
        </w:rPr>
      </w:pPr>
      <w:r>
        <w:rPr>
          <w:rFonts w:hint="eastAsia" w:ascii="黑体" w:hAnsi="黑体" w:eastAsia="黑体" w:cs="黑体"/>
          <w:lang w:val="en-US" w:eastAsia="zh-CN"/>
        </w:rPr>
        <w:t>一、总体情况</w:t>
      </w:r>
    </w:p>
    <w:p>
      <w:pPr>
        <w:rPr>
          <w:rFonts w:hint="eastAsia" w:ascii="仿宋" w:hAnsi="仿宋" w:eastAsia="仿宋" w:cs="仿宋"/>
          <w:lang w:val="en-US" w:eastAsia="zh-CN"/>
        </w:rPr>
      </w:pPr>
      <w:r>
        <w:rPr>
          <w:rFonts w:hint="eastAsia" w:ascii="仿宋" w:hAnsi="仿宋" w:eastAsia="仿宋" w:cs="仿宋"/>
          <w:lang w:val="en-US" w:eastAsia="zh-CN"/>
        </w:rPr>
        <w:t>2019年以来，朱堂乡严格按照《中华人民共和国政府信息公开条例》及县委、县政府的相关要求，持续构建完善阳光政府工作体系，稳步推进政府信息公开各项工作，全面提高政府信息公开水平，推动党务公开、政务公开、事务公开和村务公开，有效保障群众的知情权、参与权和监督权。现将我乡工作情况报告如下：</w:t>
      </w:r>
    </w:p>
    <w:p>
      <w:pPr>
        <w:rPr>
          <w:rFonts w:hint="eastAsia" w:ascii="仿宋" w:hAnsi="仿宋" w:eastAsia="仿宋" w:cs="仿宋"/>
          <w:lang w:val="en-US" w:eastAsia="zh-CN"/>
        </w:rPr>
      </w:pPr>
      <w:r>
        <w:rPr>
          <w:rFonts w:hint="eastAsia" w:ascii="仿宋" w:hAnsi="仿宋" w:eastAsia="仿宋" w:cs="仿宋"/>
          <w:b/>
          <w:bCs/>
          <w:lang w:val="en-US" w:eastAsia="zh-CN"/>
        </w:rPr>
        <w:t>一是加强组织领导。</w:t>
      </w:r>
      <w:r>
        <w:rPr>
          <w:rFonts w:hint="eastAsia" w:ascii="仿宋" w:hAnsi="仿宋" w:eastAsia="仿宋" w:cs="仿宋"/>
          <w:lang w:val="en-US" w:eastAsia="zh-CN"/>
        </w:rPr>
        <w:t>成立了朱堂乡政务公开工作办公室，进一步明确了分管领导和专门办事工作人员职责，由乡党委宣统委员杨春柏同志任办公室主任，负责统筹协调编制政府信息公开内容，乡党政办文秘承担日常信息的更新与发布,明确职责主体，细化任务分工，保证了政府信息公开工作扎实有效开展。</w:t>
      </w:r>
    </w:p>
    <w:p>
      <w:pPr>
        <w:rPr>
          <w:rFonts w:hint="eastAsia" w:ascii="仿宋" w:hAnsi="仿宋" w:eastAsia="仿宋" w:cs="仿宋"/>
          <w:lang w:val="en-US" w:eastAsia="zh-CN"/>
        </w:rPr>
      </w:pPr>
      <w:r>
        <w:rPr>
          <w:rFonts w:hint="eastAsia" w:ascii="仿宋" w:hAnsi="仿宋" w:eastAsia="仿宋" w:cs="仿宋"/>
          <w:b/>
          <w:bCs/>
          <w:lang w:val="en-US" w:eastAsia="zh-CN"/>
        </w:rPr>
        <w:t>二是规范公开内容。</w:t>
      </w:r>
      <w:r>
        <w:rPr>
          <w:rFonts w:hint="eastAsia" w:ascii="仿宋" w:hAnsi="仿宋" w:eastAsia="仿宋" w:cs="仿宋"/>
          <w:lang w:val="en-US" w:eastAsia="zh-CN"/>
        </w:rPr>
        <w:t xml:space="preserve">依据《条例》和市、县政府信息公开有关文件要求，按照“公开是原则，不公开是例外”的要求，明确政府信息公开的工作内容、形式和公开、受理、回复的反馈机制，积极抓好政府信息主动公开，严格遵循政府信息公开基本原则开展信息公开工作，做到“依法公开，真实公正，注重实效，有利监督”。 </w:t>
      </w:r>
    </w:p>
    <w:p>
      <w:pPr>
        <w:rPr>
          <w:rFonts w:hint="eastAsia" w:ascii="仿宋" w:hAnsi="仿宋" w:eastAsia="仿宋" w:cs="仿宋"/>
          <w:lang w:val="en-US" w:eastAsia="zh-CN"/>
        </w:rPr>
      </w:pPr>
      <w:r>
        <w:rPr>
          <w:rFonts w:hint="eastAsia" w:ascii="仿宋" w:hAnsi="仿宋" w:eastAsia="仿宋" w:cs="仿宋"/>
          <w:b/>
          <w:bCs/>
          <w:lang w:val="en-US" w:eastAsia="zh-CN"/>
        </w:rPr>
        <w:t>三是严格工作标准。</w:t>
      </w:r>
      <w:r>
        <w:rPr>
          <w:rFonts w:hint="eastAsia" w:ascii="仿宋" w:hAnsi="仿宋" w:eastAsia="仿宋" w:cs="仿宋"/>
          <w:lang w:val="en-US" w:eastAsia="zh-CN"/>
        </w:rPr>
        <w:t>严格落实信息督查检查和信息发布审核工作，进一步强化主体责任，严肃工作纪律，提高依法公开水平，推进政府信息公开，广泛接受服务对象的监督，使政府信息公开工作制度化和规范化，确保政府信息公开工作的整体性和连续性。</w:t>
      </w:r>
    </w:p>
    <w:p>
      <w:pPr>
        <w:rPr>
          <w:rFonts w:ascii="黑体" w:hAnsi="宋体" w:eastAsia="黑体" w:cs="黑体"/>
          <w:i w:val="0"/>
          <w:caps w:val="0"/>
          <w:color w:val="0D0D0D"/>
          <w:spacing w:val="0"/>
          <w:sz w:val="32"/>
          <w:szCs w:val="32"/>
          <w:shd w:val="clear" w:fill="FFFFFF"/>
        </w:rPr>
      </w:pPr>
      <w:r>
        <w:rPr>
          <w:rFonts w:ascii="黑体" w:hAnsi="宋体" w:eastAsia="黑体" w:cs="黑体"/>
          <w:i w:val="0"/>
          <w:caps w:val="0"/>
          <w:color w:val="0D0D0D"/>
          <w:spacing w:val="0"/>
          <w:sz w:val="32"/>
          <w:szCs w:val="32"/>
          <w:shd w:val="clear" w:fill="FFFFFF"/>
        </w:rPr>
        <w:t>二、政府信息主动公开情况</w:t>
      </w:r>
    </w:p>
    <w:tbl>
      <w:tblPr>
        <w:tblStyle w:val="7"/>
        <w:tblW w:w="0" w:type="auto"/>
        <w:jc w:val="center"/>
        <w:tblLayout w:type="fixed"/>
        <w:tblCellMar>
          <w:top w:w="15" w:type="dxa"/>
          <w:left w:w="15" w:type="dxa"/>
          <w:bottom w:w="15" w:type="dxa"/>
          <w:right w:w="15" w:type="dxa"/>
        </w:tblCellMar>
      </w:tblPr>
      <w:tblGrid>
        <w:gridCol w:w="3113"/>
        <w:gridCol w:w="2295"/>
        <w:gridCol w:w="1265"/>
        <w:gridCol w:w="6"/>
        <w:gridCol w:w="1875"/>
        <w:gridCol w:w="6"/>
      </w:tblGrid>
      <w:tr>
        <w:tblPrEx>
          <w:tblCellMar>
            <w:top w:w="15" w:type="dxa"/>
            <w:left w:w="15" w:type="dxa"/>
            <w:bottom w:w="15" w:type="dxa"/>
            <w:right w:w="15" w:type="dxa"/>
          </w:tblCellMar>
        </w:tblPrEx>
        <w:trPr>
          <w:jc w:val="center"/>
        </w:trPr>
        <w:tc>
          <w:tcPr>
            <w:tcW w:w="8560" w:type="dxa"/>
            <w:gridSpan w:val="6"/>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第二十条第（一）项</w:t>
            </w:r>
          </w:p>
        </w:tc>
      </w:tr>
      <w:tr>
        <w:tblPrEx>
          <w:tblCellMar>
            <w:top w:w="15" w:type="dxa"/>
            <w:left w:w="15" w:type="dxa"/>
            <w:bottom w:w="15" w:type="dxa"/>
            <w:right w:w="15" w:type="dxa"/>
          </w:tblCellMar>
        </w:tblPrEx>
        <w:trPr>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信息内容</w:t>
            </w:r>
          </w:p>
        </w:tc>
        <w:tc>
          <w:tcPr>
            <w:tcW w:w="229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本年新</w:t>
            </w:r>
            <w:r>
              <w:rPr>
                <w:rFonts w:hint="eastAsia" w:ascii="方正仿宋_GBK" w:hAnsi="方正仿宋_GBK" w:cs="方正仿宋_GBK"/>
                <w:color w:val="000000"/>
                <w:kern w:val="0"/>
                <w:sz w:val="24"/>
                <w:lang w:bidi="ar"/>
              </w:rPr>
              <w:br w:type="textWrapping"/>
            </w:r>
            <w:r>
              <w:rPr>
                <w:rFonts w:ascii="方正仿宋_GBK" w:hAnsi="方正仿宋_GBK" w:cs="方正仿宋_GBK"/>
                <w:color w:val="000000"/>
                <w:kern w:val="0"/>
                <w:sz w:val="24"/>
                <w:lang w:bidi="ar"/>
              </w:rPr>
              <w:t>制作数量</w:t>
            </w:r>
          </w:p>
        </w:tc>
        <w:tc>
          <w:tcPr>
            <w:tcW w:w="127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本年新</w:t>
            </w:r>
            <w:r>
              <w:rPr>
                <w:rFonts w:hint="eastAsia" w:ascii="方正仿宋_GBK" w:hAnsi="方正仿宋_GBK" w:cs="方正仿宋_GBK"/>
                <w:color w:val="000000"/>
                <w:kern w:val="0"/>
                <w:sz w:val="24"/>
                <w:lang w:bidi="ar"/>
              </w:rPr>
              <w:br w:type="textWrapping"/>
            </w:r>
            <w:r>
              <w:rPr>
                <w:rFonts w:ascii="方正仿宋_GBK" w:hAnsi="方正仿宋_GBK" w:cs="方正仿宋_GBK"/>
                <w:color w:val="000000"/>
                <w:kern w:val="0"/>
                <w:sz w:val="24"/>
                <w:lang w:bidi="ar"/>
              </w:rPr>
              <w:t>公开数量</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对外公开总数量</w:t>
            </w:r>
          </w:p>
        </w:tc>
      </w:tr>
      <w:tr>
        <w:tblPrEx>
          <w:tblCellMar>
            <w:top w:w="15" w:type="dxa"/>
            <w:left w:w="15" w:type="dxa"/>
            <w:bottom w:w="15" w:type="dxa"/>
            <w:right w:w="15" w:type="dxa"/>
          </w:tblCellMar>
        </w:tblPrEx>
        <w:trPr>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规章</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127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宋体" w:hAnsi="宋体" w:cs="方正仿宋_GBK"/>
                <w:color w:val="000000"/>
                <w:kern w:val="0"/>
                <w:sz w:val="24"/>
                <w:lang w:bidi="ar"/>
              </w:rPr>
              <w:t> </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　</w:t>
            </w:r>
          </w:p>
        </w:tc>
      </w:tr>
      <w:tr>
        <w:tblPrEx>
          <w:tblCellMar>
            <w:top w:w="15" w:type="dxa"/>
            <w:left w:w="15" w:type="dxa"/>
            <w:bottom w:w="15" w:type="dxa"/>
            <w:right w:w="15" w:type="dxa"/>
          </w:tblCellMar>
        </w:tblPrEx>
        <w:trPr>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规范性文件</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127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宋体" w:hAnsi="宋体" w:cs="方正仿宋_GBK"/>
                <w:color w:val="000000"/>
                <w:kern w:val="0"/>
                <w:sz w:val="24"/>
                <w:lang w:bidi="ar"/>
              </w:rPr>
              <w:t> </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　</w:t>
            </w:r>
          </w:p>
        </w:tc>
      </w:tr>
      <w:tr>
        <w:tblPrEx>
          <w:tblCellMar>
            <w:top w:w="15" w:type="dxa"/>
            <w:left w:w="15" w:type="dxa"/>
            <w:bottom w:w="15" w:type="dxa"/>
            <w:right w:w="15" w:type="dxa"/>
          </w:tblCellMar>
        </w:tblPrEx>
        <w:trPr>
          <w:jc w:val="center"/>
        </w:trPr>
        <w:tc>
          <w:tcPr>
            <w:tcW w:w="8560" w:type="dxa"/>
            <w:gridSpan w:val="6"/>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第二十条第（五）项</w:t>
            </w:r>
          </w:p>
        </w:tc>
      </w:tr>
      <w:tr>
        <w:tblPrEx>
          <w:tblCellMar>
            <w:top w:w="15" w:type="dxa"/>
            <w:left w:w="15" w:type="dxa"/>
            <w:bottom w:w="15" w:type="dxa"/>
            <w:right w:w="15" w:type="dxa"/>
          </w:tblCellMar>
        </w:tblPrEx>
        <w:trPr>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信息内容</w:t>
            </w:r>
          </w:p>
        </w:tc>
        <w:tc>
          <w:tcPr>
            <w:tcW w:w="229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上一年项目数量</w:t>
            </w:r>
          </w:p>
        </w:tc>
        <w:tc>
          <w:tcPr>
            <w:tcW w:w="127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本年增/减</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处理决定数量</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行政许可</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12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　</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　</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其他对外管理服务事项</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12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　</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　</w:t>
            </w:r>
          </w:p>
        </w:tc>
      </w:tr>
      <w:tr>
        <w:tblPrEx>
          <w:tblCellMar>
            <w:top w:w="15" w:type="dxa"/>
            <w:left w:w="15" w:type="dxa"/>
            <w:bottom w:w="15" w:type="dxa"/>
            <w:right w:w="15" w:type="dxa"/>
          </w:tblCellMar>
        </w:tblPrEx>
        <w:trPr>
          <w:jc w:val="center"/>
        </w:trPr>
        <w:tc>
          <w:tcPr>
            <w:tcW w:w="8560" w:type="dxa"/>
            <w:gridSpan w:val="6"/>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第二十条第（六）项</w:t>
            </w:r>
          </w:p>
        </w:tc>
      </w:tr>
      <w:tr>
        <w:tblPrEx>
          <w:tblCellMar>
            <w:top w:w="15" w:type="dxa"/>
            <w:left w:w="15" w:type="dxa"/>
            <w:bottom w:w="15" w:type="dxa"/>
            <w:right w:w="15" w:type="dxa"/>
          </w:tblCellMar>
        </w:tblPrEx>
        <w:trPr>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信息内容</w:t>
            </w:r>
          </w:p>
        </w:tc>
        <w:tc>
          <w:tcPr>
            <w:tcW w:w="229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上一年项目数量</w:t>
            </w:r>
          </w:p>
        </w:tc>
        <w:tc>
          <w:tcPr>
            <w:tcW w:w="127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本年增/减</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处理决定数量</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行政处罚</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12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　</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　</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行政强制</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12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　</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　</w:t>
            </w:r>
          </w:p>
        </w:tc>
      </w:tr>
      <w:tr>
        <w:tblPrEx>
          <w:tblCellMar>
            <w:top w:w="15" w:type="dxa"/>
            <w:left w:w="15" w:type="dxa"/>
            <w:bottom w:w="15" w:type="dxa"/>
            <w:right w:w="15" w:type="dxa"/>
          </w:tblCellMar>
        </w:tblPrEx>
        <w:trPr>
          <w:jc w:val="center"/>
        </w:trPr>
        <w:tc>
          <w:tcPr>
            <w:tcW w:w="8560" w:type="dxa"/>
            <w:gridSpan w:val="6"/>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第二十条第（八）项</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信息内容</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上一年项目数量</w:t>
            </w:r>
          </w:p>
        </w:tc>
        <w:tc>
          <w:tcPr>
            <w:tcW w:w="3146" w:type="dxa"/>
            <w:gridSpan w:val="3"/>
            <w:tcBorders>
              <w:top w:val="single" w:color="auto" w:sz="8" w:space="0"/>
              <w:left w:val="nil"/>
              <w:bottom w:val="single" w:color="auto" w:sz="8" w:space="0"/>
              <w:right w:val="single" w:color="000000"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本年增/减</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行政事业性收费</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3146" w:type="dxa"/>
            <w:gridSpan w:val="3"/>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宋体" w:hAnsi="宋体" w:cs="方正仿宋_GBK"/>
                <w:color w:val="000000"/>
                <w:kern w:val="0"/>
                <w:sz w:val="24"/>
                <w:lang w:bidi="ar"/>
              </w:rPr>
              <w:t> </w:t>
            </w:r>
          </w:p>
        </w:tc>
      </w:tr>
      <w:tr>
        <w:tblPrEx>
          <w:tblCellMar>
            <w:top w:w="15" w:type="dxa"/>
            <w:left w:w="15" w:type="dxa"/>
            <w:bottom w:w="15" w:type="dxa"/>
            <w:right w:w="15" w:type="dxa"/>
          </w:tblCellMar>
        </w:tblPrEx>
        <w:trPr>
          <w:jc w:val="center"/>
        </w:trPr>
        <w:tc>
          <w:tcPr>
            <w:tcW w:w="8560" w:type="dxa"/>
            <w:gridSpan w:val="6"/>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第二十条第（九）项</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信息内容</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采购项目数量</w:t>
            </w:r>
          </w:p>
        </w:tc>
        <w:tc>
          <w:tcPr>
            <w:tcW w:w="3146" w:type="dxa"/>
            <w:gridSpan w:val="3"/>
            <w:tcBorders>
              <w:top w:val="single" w:color="auto" w:sz="8" w:space="0"/>
              <w:left w:val="nil"/>
              <w:bottom w:val="single" w:color="auto" w:sz="8" w:space="0"/>
              <w:right w:val="single" w:color="000000"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采购总金额</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政府集中采购</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3146" w:type="dxa"/>
            <w:gridSpan w:val="3"/>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spacing w:line="440" w:lineRule="exact"/>
              <w:ind w:firstLine="0" w:firstLineChars="0"/>
              <w:rPr>
                <w:rFonts w:hint="eastAsia" w:ascii="方正仿宋_GBK" w:hAnsi="方正仿宋_GBK" w:cs="方正仿宋_GBK"/>
                <w:color w:val="000000"/>
                <w:sz w:val="24"/>
              </w:rPr>
            </w:pPr>
          </w:p>
        </w:tc>
      </w:tr>
    </w:tbl>
    <w:p>
      <w:pPr>
        <w:pStyle w:val="6"/>
        <w:widowControl/>
        <w:spacing w:before="0" w:beforeAutospacing="0" w:after="0" w:afterAutospacing="0"/>
        <w:ind w:firstLine="482"/>
        <w:jc w:val="both"/>
        <w:rPr>
          <w:rFonts w:hint="eastAsia" w:ascii="黑体" w:hAnsi="黑体" w:eastAsia="黑体"/>
          <w:color w:val="000000"/>
          <w:sz w:val="32"/>
          <w:szCs w:val="40"/>
        </w:rPr>
      </w:pPr>
    </w:p>
    <w:p>
      <w:pPr>
        <w:pStyle w:val="6"/>
        <w:widowControl/>
        <w:spacing w:before="0" w:beforeAutospacing="0" w:after="0" w:afterAutospacing="0"/>
        <w:ind w:firstLine="482"/>
        <w:jc w:val="both"/>
        <w:rPr>
          <w:rFonts w:hint="eastAsia" w:ascii="黑体" w:hAnsi="黑体" w:eastAsia="黑体"/>
          <w:color w:val="000000"/>
          <w:sz w:val="32"/>
          <w:szCs w:val="40"/>
        </w:rPr>
      </w:pPr>
    </w:p>
    <w:p>
      <w:pPr>
        <w:pStyle w:val="6"/>
        <w:widowControl/>
        <w:spacing w:before="0" w:beforeAutospacing="0" w:after="0" w:afterAutospacing="0"/>
        <w:ind w:firstLine="482"/>
        <w:jc w:val="both"/>
        <w:rPr>
          <w:rFonts w:hint="eastAsia" w:ascii="黑体" w:hAnsi="黑体" w:eastAsia="黑体"/>
          <w:color w:val="000000"/>
          <w:sz w:val="32"/>
          <w:szCs w:val="40"/>
        </w:rPr>
      </w:pPr>
      <w:r>
        <w:rPr>
          <w:rFonts w:hint="eastAsia" w:ascii="黑体" w:hAnsi="黑体" w:eastAsia="黑体"/>
          <w:color w:val="000000"/>
          <w:sz w:val="32"/>
          <w:szCs w:val="40"/>
        </w:rPr>
        <w:t>三、收到和处理政府信息公开申请情况</w:t>
      </w:r>
    </w:p>
    <w:tbl>
      <w:tblPr>
        <w:tblStyle w:val="7"/>
        <w:tblW w:w="1003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
      <w:tblGrid>
        <w:gridCol w:w="923"/>
        <w:gridCol w:w="1190"/>
        <w:gridCol w:w="1712"/>
        <w:gridCol w:w="844"/>
        <w:gridCol w:w="702"/>
        <w:gridCol w:w="755"/>
        <w:gridCol w:w="904"/>
        <w:gridCol w:w="889"/>
        <w:gridCol w:w="1058"/>
        <w:gridCol w:w="105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3825" w:type="dxa"/>
            <w:gridSpan w:val="3"/>
            <w:vMerge w:val="restart"/>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（本列数据的勾稽关系为：第一项加第二项之和，等于第三项加第四项之和）</w:t>
            </w:r>
          </w:p>
        </w:tc>
        <w:tc>
          <w:tcPr>
            <w:tcW w:w="6210" w:type="dxa"/>
            <w:gridSpan w:val="7"/>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3825" w:type="dxa"/>
            <w:gridSpan w:val="3"/>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844" w:type="dxa"/>
            <w:vMerge w:val="restart"/>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自然人</w:t>
            </w:r>
          </w:p>
        </w:tc>
        <w:tc>
          <w:tcPr>
            <w:tcW w:w="4308" w:type="dxa"/>
            <w:gridSpan w:val="5"/>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法人或其他组织</w:t>
            </w:r>
          </w:p>
        </w:tc>
        <w:tc>
          <w:tcPr>
            <w:tcW w:w="1058" w:type="dxa"/>
            <w:vMerge w:val="restart"/>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3825" w:type="dxa"/>
            <w:gridSpan w:val="3"/>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844"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70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商业企业</w:t>
            </w:r>
          </w:p>
        </w:tc>
        <w:tc>
          <w:tcPr>
            <w:tcW w:w="755"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科研机构</w:t>
            </w:r>
          </w:p>
        </w:tc>
        <w:tc>
          <w:tcPr>
            <w:tcW w:w="90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社会公益组织</w:t>
            </w:r>
          </w:p>
        </w:tc>
        <w:tc>
          <w:tcPr>
            <w:tcW w:w="889"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法律服务机构</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其他</w:t>
            </w:r>
          </w:p>
        </w:tc>
        <w:tc>
          <w:tcPr>
            <w:tcW w:w="1058"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3825" w:type="dxa"/>
            <w:gridSpan w:val="3"/>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一、本年新收政府信息公开申请数量</w:t>
            </w:r>
          </w:p>
        </w:tc>
        <w:tc>
          <w:tcPr>
            <w:tcW w:w="84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ascii="Calibri" w:eastAsia="方正仿宋_GBK"/>
                <w:color w:val="000000"/>
                <w:kern w:val="0"/>
                <w:sz w:val="20"/>
                <w:szCs w:val="20"/>
                <w:lang w:val="en-US" w:eastAsia="zh-CN" w:bidi="ar"/>
              </w:rPr>
              <w:t>0</w:t>
            </w:r>
          </w:p>
        </w:tc>
        <w:tc>
          <w:tcPr>
            <w:tcW w:w="70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3825" w:type="dxa"/>
            <w:gridSpan w:val="3"/>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二、上年结转政府信息公开申请数量</w:t>
            </w:r>
          </w:p>
        </w:tc>
        <w:tc>
          <w:tcPr>
            <w:tcW w:w="84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ascii="Calibri" w:eastAsia="方正仿宋_GBK"/>
                <w:color w:val="000000"/>
                <w:kern w:val="0"/>
                <w:sz w:val="20"/>
                <w:szCs w:val="20"/>
                <w:lang w:val="en-US" w:eastAsia="zh-CN" w:bidi="ar"/>
              </w:rPr>
              <w:t>0</w:t>
            </w:r>
          </w:p>
        </w:tc>
        <w:tc>
          <w:tcPr>
            <w:tcW w:w="70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923" w:type="dxa"/>
            <w:vMerge w:val="restart"/>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三、本年度办理结果</w:t>
            </w:r>
          </w:p>
        </w:tc>
        <w:tc>
          <w:tcPr>
            <w:tcW w:w="2902" w:type="dxa"/>
            <w:gridSpan w:val="2"/>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（一）予以公开</w:t>
            </w:r>
          </w:p>
        </w:tc>
        <w:tc>
          <w:tcPr>
            <w:tcW w:w="84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ascii="Calibri" w:eastAsia="方正仿宋_GBK"/>
                <w:color w:val="000000"/>
                <w:kern w:val="0"/>
                <w:sz w:val="20"/>
                <w:szCs w:val="20"/>
                <w:lang w:val="en-US" w:eastAsia="zh-CN" w:bidi="ar"/>
              </w:rPr>
              <w:t>0</w:t>
            </w:r>
          </w:p>
        </w:tc>
        <w:tc>
          <w:tcPr>
            <w:tcW w:w="70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923"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2902" w:type="dxa"/>
            <w:gridSpan w:val="2"/>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（二）部分公开（区分处理的，只计这一情形，不计其他情形）</w:t>
            </w:r>
          </w:p>
        </w:tc>
        <w:tc>
          <w:tcPr>
            <w:tcW w:w="84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ascii="Calibri" w:eastAsia="方正仿宋_GBK"/>
                <w:color w:val="000000"/>
                <w:kern w:val="0"/>
                <w:sz w:val="20"/>
                <w:szCs w:val="20"/>
                <w:lang w:val="en-US" w:eastAsia="zh-CN" w:bidi="ar"/>
              </w:rPr>
              <w:t>0</w:t>
            </w:r>
          </w:p>
        </w:tc>
        <w:tc>
          <w:tcPr>
            <w:tcW w:w="70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923"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restart"/>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（三）不予公开</w:t>
            </w:r>
          </w:p>
        </w:tc>
        <w:tc>
          <w:tcPr>
            <w:tcW w:w="171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1.</w:t>
            </w:r>
            <w:r>
              <w:rPr>
                <w:rFonts w:hAnsi="方正仿宋_GBK"/>
                <w:color w:val="000000"/>
                <w:kern w:val="0"/>
                <w:sz w:val="20"/>
                <w:szCs w:val="20"/>
                <w:lang w:bidi="ar"/>
              </w:rPr>
              <w:t>属于国家秘密</w:t>
            </w:r>
          </w:p>
        </w:tc>
        <w:tc>
          <w:tcPr>
            <w:tcW w:w="84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ascii="Calibri" w:eastAsia="方正仿宋_GBK"/>
                <w:color w:val="000000"/>
                <w:kern w:val="0"/>
                <w:sz w:val="20"/>
                <w:szCs w:val="20"/>
                <w:lang w:val="en-US" w:eastAsia="zh-CN" w:bidi="ar"/>
              </w:rPr>
              <w:t>0</w:t>
            </w:r>
          </w:p>
        </w:tc>
        <w:tc>
          <w:tcPr>
            <w:tcW w:w="70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923"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2.</w:t>
            </w:r>
            <w:r>
              <w:rPr>
                <w:rFonts w:hAnsi="方正仿宋_GBK"/>
                <w:color w:val="000000"/>
                <w:kern w:val="0"/>
                <w:sz w:val="20"/>
                <w:szCs w:val="20"/>
                <w:lang w:bidi="ar"/>
              </w:rPr>
              <w:t>其他法律行政法规禁止公开</w:t>
            </w:r>
          </w:p>
        </w:tc>
        <w:tc>
          <w:tcPr>
            <w:tcW w:w="84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ascii="Calibri" w:eastAsia="方正仿宋_GBK"/>
                <w:color w:val="000000"/>
                <w:kern w:val="0"/>
                <w:sz w:val="20"/>
                <w:szCs w:val="20"/>
                <w:lang w:val="en-US" w:eastAsia="zh-CN" w:bidi="ar"/>
              </w:rPr>
              <w:t>0</w:t>
            </w:r>
          </w:p>
        </w:tc>
        <w:tc>
          <w:tcPr>
            <w:tcW w:w="70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923"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3.</w:t>
            </w:r>
            <w:r>
              <w:rPr>
                <w:rFonts w:hAnsi="方正仿宋_GBK"/>
                <w:color w:val="000000"/>
                <w:kern w:val="0"/>
                <w:sz w:val="20"/>
                <w:szCs w:val="20"/>
                <w:lang w:bidi="ar"/>
              </w:rPr>
              <w:t>危及</w:t>
            </w:r>
            <w:r>
              <w:rPr>
                <w:color w:val="000000"/>
                <w:kern w:val="0"/>
                <w:sz w:val="20"/>
                <w:szCs w:val="20"/>
                <w:lang w:bidi="ar"/>
              </w:rPr>
              <w:t>“</w:t>
            </w:r>
            <w:r>
              <w:rPr>
                <w:rFonts w:hAnsi="方正仿宋_GBK"/>
                <w:color w:val="000000"/>
                <w:kern w:val="0"/>
                <w:sz w:val="20"/>
                <w:szCs w:val="20"/>
                <w:lang w:bidi="ar"/>
              </w:rPr>
              <w:t>三安全一稳定</w:t>
            </w:r>
            <w:r>
              <w:rPr>
                <w:color w:val="000000"/>
                <w:kern w:val="0"/>
                <w:sz w:val="20"/>
                <w:szCs w:val="20"/>
                <w:lang w:bidi="ar"/>
              </w:rPr>
              <w:t>”</w:t>
            </w:r>
          </w:p>
        </w:tc>
        <w:tc>
          <w:tcPr>
            <w:tcW w:w="84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ascii="Calibri" w:eastAsia="方正仿宋_GBK"/>
                <w:color w:val="000000"/>
                <w:kern w:val="0"/>
                <w:sz w:val="20"/>
                <w:szCs w:val="20"/>
                <w:lang w:val="en-US" w:eastAsia="zh-CN" w:bidi="ar"/>
              </w:rPr>
              <w:t>0</w:t>
            </w:r>
          </w:p>
        </w:tc>
        <w:tc>
          <w:tcPr>
            <w:tcW w:w="70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923"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4.</w:t>
            </w:r>
            <w:r>
              <w:rPr>
                <w:rFonts w:hAnsi="方正仿宋_GBK"/>
                <w:color w:val="000000"/>
                <w:kern w:val="0"/>
                <w:sz w:val="20"/>
                <w:szCs w:val="20"/>
                <w:lang w:bidi="ar"/>
              </w:rPr>
              <w:t>保护第三方合法权益</w:t>
            </w:r>
          </w:p>
        </w:tc>
        <w:tc>
          <w:tcPr>
            <w:tcW w:w="84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ascii="Calibri" w:eastAsia="方正仿宋_GBK"/>
                <w:color w:val="000000"/>
                <w:kern w:val="0"/>
                <w:sz w:val="20"/>
                <w:szCs w:val="20"/>
                <w:lang w:val="en-US" w:eastAsia="zh-CN" w:bidi="ar"/>
              </w:rPr>
              <w:t>0</w:t>
            </w:r>
          </w:p>
        </w:tc>
        <w:tc>
          <w:tcPr>
            <w:tcW w:w="70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923"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5.</w:t>
            </w:r>
            <w:r>
              <w:rPr>
                <w:rFonts w:hAnsi="方正仿宋_GBK"/>
                <w:color w:val="000000"/>
                <w:kern w:val="0"/>
                <w:sz w:val="20"/>
                <w:szCs w:val="20"/>
                <w:lang w:bidi="ar"/>
              </w:rPr>
              <w:t>属于三类内部事务信息</w:t>
            </w:r>
          </w:p>
        </w:tc>
        <w:tc>
          <w:tcPr>
            <w:tcW w:w="84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ascii="Calibri" w:eastAsia="方正仿宋_GBK"/>
                <w:color w:val="000000"/>
                <w:kern w:val="0"/>
                <w:sz w:val="20"/>
                <w:szCs w:val="20"/>
                <w:lang w:val="en-US" w:eastAsia="zh-CN" w:bidi="ar"/>
              </w:rPr>
              <w:t>0</w:t>
            </w:r>
          </w:p>
        </w:tc>
        <w:tc>
          <w:tcPr>
            <w:tcW w:w="70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923"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6.</w:t>
            </w:r>
            <w:r>
              <w:rPr>
                <w:rFonts w:hAnsi="方正仿宋_GBK"/>
                <w:color w:val="000000"/>
                <w:kern w:val="0"/>
                <w:sz w:val="20"/>
                <w:szCs w:val="20"/>
                <w:lang w:bidi="ar"/>
              </w:rPr>
              <w:t>属于四类过程性信息</w:t>
            </w:r>
          </w:p>
        </w:tc>
        <w:tc>
          <w:tcPr>
            <w:tcW w:w="84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ascii="Calibri" w:eastAsia="方正仿宋_GBK"/>
                <w:color w:val="000000"/>
                <w:kern w:val="0"/>
                <w:sz w:val="20"/>
                <w:szCs w:val="20"/>
                <w:lang w:val="en-US" w:eastAsia="zh-CN" w:bidi="ar"/>
              </w:rPr>
              <w:t>0</w:t>
            </w:r>
          </w:p>
        </w:tc>
        <w:tc>
          <w:tcPr>
            <w:tcW w:w="70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923"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7.</w:t>
            </w:r>
            <w:r>
              <w:rPr>
                <w:rFonts w:hAnsi="方正仿宋_GBK"/>
                <w:color w:val="000000"/>
                <w:kern w:val="0"/>
                <w:sz w:val="20"/>
                <w:szCs w:val="20"/>
                <w:lang w:bidi="ar"/>
              </w:rPr>
              <w:t>属于行政执法案卷</w:t>
            </w:r>
          </w:p>
        </w:tc>
        <w:tc>
          <w:tcPr>
            <w:tcW w:w="84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ascii="Calibri" w:eastAsia="方正仿宋_GBK"/>
                <w:color w:val="000000"/>
                <w:kern w:val="0"/>
                <w:sz w:val="20"/>
                <w:szCs w:val="20"/>
                <w:lang w:val="en-US" w:eastAsia="zh-CN" w:bidi="ar"/>
              </w:rPr>
              <w:t>0</w:t>
            </w:r>
          </w:p>
        </w:tc>
        <w:tc>
          <w:tcPr>
            <w:tcW w:w="70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923"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8.</w:t>
            </w:r>
            <w:r>
              <w:rPr>
                <w:rFonts w:hAnsi="方正仿宋_GBK"/>
                <w:color w:val="000000"/>
                <w:kern w:val="0"/>
                <w:sz w:val="20"/>
                <w:szCs w:val="20"/>
                <w:lang w:bidi="ar"/>
              </w:rPr>
              <w:t>属于行政查询事项</w:t>
            </w:r>
          </w:p>
        </w:tc>
        <w:tc>
          <w:tcPr>
            <w:tcW w:w="84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ascii="Calibri" w:eastAsia="方正仿宋_GBK"/>
                <w:color w:val="000000"/>
                <w:kern w:val="0"/>
                <w:sz w:val="20"/>
                <w:szCs w:val="20"/>
                <w:lang w:val="en-US" w:eastAsia="zh-CN" w:bidi="ar"/>
              </w:rPr>
              <w:t>0</w:t>
            </w:r>
          </w:p>
        </w:tc>
        <w:tc>
          <w:tcPr>
            <w:tcW w:w="70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923"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restart"/>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（四）无法提供</w:t>
            </w:r>
          </w:p>
        </w:tc>
        <w:tc>
          <w:tcPr>
            <w:tcW w:w="171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1.</w:t>
            </w:r>
            <w:r>
              <w:rPr>
                <w:rFonts w:hAnsi="方正仿宋_GBK"/>
                <w:color w:val="000000"/>
                <w:kern w:val="0"/>
                <w:sz w:val="20"/>
                <w:szCs w:val="20"/>
                <w:lang w:bidi="ar"/>
              </w:rPr>
              <w:t>本机关不掌握相关政府信息</w:t>
            </w:r>
          </w:p>
        </w:tc>
        <w:tc>
          <w:tcPr>
            <w:tcW w:w="84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ascii="Calibri" w:eastAsia="方正仿宋_GBK"/>
                <w:color w:val="000000"/>
                <w:kern w:val="0"/>
                <w:sz w:val="20"/>
                <w:szCs w:val="20"/>
                <w:lang w:val="en-US" w:eastAsia="zh-CN" w:bidi="ar"/>
              </w:rPr>
              <w:t>0</w:t>
            </w:r>
          </w:p>
        </w:tc>
        <w:tc>
          <w:tcPr>
            <w:tcW w:w="70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923"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2.</w:t>
            </w:r>
            <w:r>
              <w:rPr>
                <w:rFonts w:hAnsi="方正仿宋_GBK"/>
                <w:color w:val="000000"/>
                <w:kern w:val="0"/>
                <w:sz w:val="20"/>
                <w:szCs w:val="20"/>
                <w:lang w:bidi="ar"/>
              </w:rPr>
              <w:t>没有现成信息需要另行制作</w:t>
            </w:r>
          </w:p>
        </w:tc>
        <w:tc>
          <w:tcPr>
            <w:tcW w:w="84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ascii="Calibri" w:eastAsia="方正仿宋_GBK"/>
                <w:color w:val="000000"/>
                <w:kern w:val="0"/>
                <w:sz w:val="20"/>
                <w:szCs w:val="20"/>
                <w:lang w:val="en-US" w:eastAsia="zh-CN" w:bidi="ar"/>
              </w:rPr>
              <w:t>0</w:t>
            </w:r>
          </w:p>
        </w:tc>
        <w:tc>
          <w:tcPr>
            <w:tcW w:w="70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923"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3.</w:t>
            </w:r>
            <w:r>
              <w:rPr>
                <w:rFonts w:hAnsi="方正仿宋_GBK"/>
                <w:color w:val="000000"/>
                <w:kern w:val="0"/>
                <w:sz w:val="20"/>
                <w:szCs w:val="20"/>
                <w:lang w:bidi="ar"/>
              </w:rPr>
              <w:t>补正后申请内容仍不明确</w:t>
            </w:r>
          </w:p>
        </w:tc>
        <w:tc>
          <w:tcPr>
            <w:tcW w:w="84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ascii="Calibri" w:eastAsia="方正仿宋_GBK"/>
                <w:color w:val="000000"/>
                <w:kern w:val="0"/>
                <w:sz w:val="20"/>
                <w:szCs w:val="20"/>
                <w:lang w:val="en-US" w:eastAsia="zh-CN" w:bidi="ar"/>
              </w:rPr>
              <w:t>0</w:t>
            </w:r>
          </w:p>
        </w:tc>
        <w:tc>
          <w:tcPr>
            <w:tcW w:w="70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923"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restart"/>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（五）不予处理</w:t>
            </w:r>
          </w:p>
        </w:tc>
        <w:tc>
          <w:tcPr>
            <w:tcW w:w="171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1.</w:t>
            </w:r>
            <w:r>
              <w:rPr>
                <w:rFonts w:hAnsi="方正仿宋_GBK"/>
                <w:color w:val="000000"/>
                <w:kern w:val="0"/>
                <w:sz w:val="20"/>
                <w:szCs w:val="20"/>
                <w:lang w:bidi="ar"/>
              </w:rPr>
              <w:t>信访举报投诉类申请</w:t>
            </w:r>
          </w:p>
        </w:tc>
        <w:tc>
          <w:tcPr>
            <w:tcW w:w="84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ascii="Calibri" w:eastAsia="方正仿宋_GBK"/>
                <w:color w:val="000000"/>
                <w:kern w:val="0"/>
                <w:sz w:val="20"/>
                <w:szCs w:val="20"/>
                <w:lang w:val="en-US" w:eastAsia="zh-CN" w:bidi="ar"/>
              </w:rPr>
              <w:t>0</w:t>
            </w:r>
          </w:p>
        </w:tc>
        <w:tc>
          <w:tcPr>
            <w:tcW w:w="70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923"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2.</w:t>
            </w:r>
            <w:r>
              <w:rPr>
                <w:rFonts w:hAnsi="方正仿宋_GBK"/>
                <w:color w:val="000000"/>
                <w:kern w:val="0"/>
                <w:sz w:val="20"/>
                <w:szCs w:val="20"/>
                <w:lang w:bidi="ar"/>
              </w:rPr>
              <w:t>重复申请</w:t>
            </w:r>
          </w:p>
        </w:tc>
        <w:tc>
          <w:tcPr>
            <w:tcW w:w="84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ascii="Calibri" w:eastAsia="方正仿宋_GBK"/>
                <w:color w:val="000000"/>
                <w:kern w:val="0"/>
                <w:sz w:val="20"/>
                <w:szCs w:val="20"/>
                <w:lang w:val="en-US" w:eastAsia="zh-CN" w:bidi="ar"/>
              </w:rPr>
              <w:t>0</w:t>
            </w:r>
          </w:p>
        </w:tc>
        <w:tc>
          <w:tcPr>
            <w:tcW w:w="70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923"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3.</w:t>
            </w:r>
            <w:r>
              <w:rPr>
                <w:rFonts w:hAnsi="方正仿宋_GBK"/>
                <w:color w:val="000000"/>
                <w:kern w:val="0"/>
                <w:sz w:val="20"/>
                <w:szCs w:val="20"/>
                <w:lang w:bidi="ar"/>
              </w:rPr>
              <w:t>要求提供公开出版物</w:t>
            </w:r>
          </w:p>
        </w:tc>
        <w:tc>
          <w:tcPr>
            <w:tcW w:w="84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ascii="Calibri" w:eastAsia="方正仿宋_GBK"/>
                <w:color w:val="000000"/>
                <w:kern w:val="0"/>
                <w:sz w:val="20"/>
                <w:szCs w:val="20"/>
                <w:lang w:val="en-US" w:eastAsia="zh-CN" w:bidi="ar"/>
              </w:rPr>
              <w:t>0</w:t>
            </w:r>
          </w:p>
        </w:tc>
        <w:tc>
          <w:tcPr>
            <w:tcW w:w="70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923"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4.</w:t>
            </w:r>
            <w:r>
              <w:rPr>
                <w:rFonts w:hAnsi="方正仿宋_GBK"/>
                <w:color w:val="000000"/>
                <w:kern w:val="0"/>
                <w:sz w:val="20"/>
                <w:szCs w:val="20"/>
                <w:lang w:bidi="ar"/>
              </w:rPr>
              <w:t>无正当理由大量反复申请</w:t>
            </w:r>
          </w:p>
        </w:tc>
        <w:tc>
          <w:tcPr>
            <w:tcW w:w="84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ascii="Calibri" w:eastAsia="方正仿宋_GBK"/>
                <w:color w:val="000000"/>
                <w:kern w:val="0"/>
                <w:sz w:val="20"/>
                <w:szCs w:val="20"/>
                <w:lang w:val="en-US" w:eastAsia="zh-CN" w:bidi="ar"/>
              </w:rPr>
              <w:t>0</w:t>
            </w:r>
          </w:p>
        </w:tc>
        <w:tc>
          <w:tcPr>
            <w:tcW w:w="70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923"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5.</w:t>
            </w:r>
            <w:r>
              <w:rPr>
                <w:rFonts w:hAnsi="方正仿宋_GBK"/>
                <w:color w:val="000000"/>
                <w:kern w:val="0"/>
                <w:sz w:val="20"/>
                <w:szCs w:val="20"/>
                <w:lang w:bidi="ar"/>
              </w:rPr>
              <w:t>要求行政机关确认或重新出具已获取信息</w:t>
            </w:r>
          </w:p>
        </w:tc>
        <w:tc>
          <w:tcPr>
            <w:tcW w:w="84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ascii="Calibri" w:eastAsia="方正仿宋_GBK"/>
                <w:color w:val="000000"/>
                <w:kern w:val="0"/>
                <w:sz w:val="20"/>
                <w:szCs w:val="20"/>
                <w:lang w:val="en-US" w:eastAsia="zh-CN" w:bidi="ar"/>
              </w:rPr>
              <w:t>0</w:t>
            </w:r>
          </w:p>
        </w:tc>
        <w:tc>
          <w:tcPr>
            <w:tcW w:w="70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923"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2902" w:type="dxa"/>
            <w:gridSpan w:val="2"/>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（六）其他处理</w:t>
            </w:r>
          </w:p>
        </w:tc>
        <w:tc>
          <w:tcPr>
            <w:tcW w:w="84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ascii="Calibri" w:eastAsia="方正仿宋_GBK"/>
                <w:color w:val="000000"/>
                <w:kern w:val="0"/>
                <w:sz w:val="20"/>
                <w:szCs w:val="20"/>
                <w:lang w:val="en-US" w:eastAsia="zh-CN" w:bidi="ar"/>
              </w:rPr>
              <w:t>0</w:t>
            </w:r>
          </w:p>
        </w:tc>
        <w:tc>
          <w:tcPr>
            <w:tcW w:w="70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923" w:type="dxa"/>
            <w:vMerge w:val="continue"/>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2902" w:type="dxa"/>
            <w:gridSpan w:val="2"/>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（七）总计</w:t>
            </w:r>
          </w:p>
        </w:tc>
        <w:tc>
          <w:tcPr>
            <w:tcW w:w="84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ascii="Calibri" w:eastAsia="方正仿宋_GBK"/>
                <w:color w:val="000000"/>
                <w:kern w:val="0"/>
                <w:sz w:val="20"/>
                <w:szCs w:val="20"/>
                <w:lang w:val="en-US" w:eastAsia="zh-CN" w:bidi="ar"/>
              </w:rPr>
              <w:t>0</w:t>
            </w:r>
          </w:p>
        </w:tc>
        <w:tc>
          <w:tcPr>
            <w:tcW w:w="70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jc w:val="center"/>
        </w:trPr>
        <w:tc>
          <w:tcPr>
            <w:tcW w:w="3825" w:type="dxa"/>
            <w:gridSpan w:val="3"/>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四、结转下年度继续办理</w:t>
            </w:r>
          </w:p>
        </w:tc>
        <w:tc>
          <w:tcPr>
            <w:tcW w:w="84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ascii="Calibri" w:eastAsia="方正仿宋_GBK"/>
                <w:color w:val="000000"/>
                <w:kern w:val="0"/>
                <w:sz w:val="20"/>
                <w:szCs w:val="20"/>
                <w:lang w:val="en-US" w:eastAsia="zh-CN" w:bidi="ar"/>
              </w:rPr>
              <w:t>0</w:t>
            </w:r>
          </w:p>
        </w:tc>
        <w:tc>
          <w:tcPr>
            <w:tcW w:w="702"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l2br w:val="nil"/>
              <w:tr2bl w:val="nil"/>
            </w:tcBorders>
            <w:noWrap w:val="0"/>
            <w:tcMar>
              <w:top w:w="0" w:type="dxa"/>
              <w:left w:w="108" w:type="dxa"/>
              <w:bottom w:w="0" w:type="dxa"/>
              <w:right w:w="108" w:type="dxa"/>
            </w:tcMar>
            <w:vAlign w:val="center"/>
          </w:tcPr>
          <w:p>
            <w:pPr>
              <w:spacing w:line="260" w:lineRule="exact"/>
              <w:ind w:firstLine="0" w:firstLineChars="0"/>
              <w:rPr>
                <w:color w:val="000000"/>
                <w:sz w:val="24"/>
              </w:rPr>
            </w:pPr>
          </w:p>
        </w:tc>
      </w:tr>
    </w:tbl>
    <w:p>
      <w:pPr>
        <w:pStyle w:val="6"/>
        <w:widowControl/>
        <w:spacing w:before="0" w:beforeAutospacing="0" w:after="0" w:afterAutospacing="0"/>
        <w:ind w:firstLine="482"/>
        <w:jc w:val="both"/>
        <w:rPr>
          <w:rFonts w:ascii="宋体" w:hAnsi="宋体" w:eastAsia="宋体" w:cs="宋体"/>
          <w:b/>
          <w:color w:val="000000"/>
        </w:rPr>
        <w:sectPr>
          <w:headerReference r:id="rId5" w:type="first"/>
          <w:footerReference r:id="rId8" w:type="first"/>
          <w:headerReference r:id="rId3" w:type="default"/>
          <w:footerReference r:id="rId6" w:type="default"/>
          <w:headerReference r:id="rId4" w:type="even"/>
          <w:footerReference r:id="rId7" w:type="even"/>
          <w:pgSz w:w="11906" w:h="16838"/>
          <w:pgMar w:top="1417" w:right="1531" w:bottom="1417" w:left="1531" w:header="851" w:footer="1247" w:gutter="0"/>
          <w:pgBorders>
            <w:top w:val="none" w:sz="0" w:space="0"/>
            <w:left w:val="none" w:sz="0" w:space="0"/>
            <w:bottom w:val="none" w:sz="0" w:space="0"/>
            <w:right w:val="none" w:sz="0" w:space="0"/>
          </w:pgBorders>
          <w:pgNumType w:fmt="decimal"/>
          <w:cols w:space="720" w:num="1"/>
          <w:docGrid w:linePitch="435" w:charSpace="0"/>
        </w:sectPr>
      </w:pPr>
    </w:p>
    <w:p>
      <w:pPr>
        <w:pStyle w:val="6"/>
        <w:widowControl/>
        <w:spacing w:before="0" w:beforeAutospacing="0" w:after="0" w:afterAutospacing="0"/>
        <w:ind w:firstLine="480"/>
        <w:jc w:val="both"/>
        <w:rPr>
          <w:rFonts w:hint="eastAsia" w:ascii="黑体" w:hAnsi="黑体" w:eastAsia="黑体"/>
          <w:color w:val="000000"/>
          <w:sz w:val="32"/>
          <w:szCs w:val="40"/>
        </w:rPr>
      </w:pPr>
      <w:r>
        <w:rPr>
          <w:rFonts w:hint="eastAsia" w:ascii="黑体" w:hAnsi="黑体" w:eastAsia="黑体"/>
          <w:color w:val="000000"/>
          <w:sz w:val="32"/>
          <w:szCs w:val="40"/>
        </w:rPr>
        <w:t>四、政府信息公开行政复议、行政诉讼情况</w:t>
      </w:r>
    </w:p>
    <w:tbl>
      <w:tblPr>
        <w:tblStyle w:val="7"/>
        <w:tblW w:w="1024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777"/>
        <w:gridCol w:w="699"/>
        <w:gridCol w:w="753"/>
        <w:gridCol w:w="648"/>
        <w:gridCol w:w="509"/>
        <w:gridCol w:w="674"/>
        <w:gridCol w:w="768"/>
        <w:gridCol w:w="655"/>
        <w:gridCol w:w="758"/>
        <w:gridCol w:w="593"/>
        <w:gridCol w:w="727"/>
        <w:gridCol w:w="707"/>
        <w:gridCol w:w="698"/>
        <w:gridCol w:w="701"/>
        <w:gridCol w:w="5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386"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rFonts w:ascii="黑体" w:hAnsi="黑体" w:eastAsia="黑体"/>
                <w:color w:val="000000"/>
              </w:rPr>
            </w:pPr>
            <w:r>
              <w:rPr>
                <w:rFonts w:ascii="黑体" w:hAnsi="黑体" w:eastAsia="黑体"/>
                <w:color w:val="000000"/>
                <w:kern w:val="0"/>
                <w:sz w:val="20"/>
                <w:szCs w:val="20"/>
                <w:lang w:bidi="ar"/>
              </w:rPr>
              <w:t>行政复议</w:t>
            </w:r>
          </w:p>
        </w:tc>
        <w:tc>
          <w:tcPr>
            <w:tcW w:w="6856" w:type="dxa"/>
            <w:gridSpan w:val="10"/>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rFonts w:ascii="黑体" w:hAnsi="黑体" w:eastAsia="黑体"/>
                <w:color w:val="000000"/>
              </w:rPr>
            </w:pPr>
            <w:r>
              <w:rPr>
                <w:rFonts w:ascii="黑体" w:hAnsi="黑体" w:eastAsia="黑体"/>
                <w:color w:val="000000"/>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05" w:hRule="atLeast"/>
          <w:jc w:val="center"/>
        </w:trPr>
        <w:tc>
          <w:tcPr>
            <w:tcW w:w="777"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结果维持</w:t>
            </w:r>
          </w:p>
        </w:tc>
        <w:tc>
          <w:tcPr>
            <w:tcW w:w="699"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结果纠正</w:t>
            </w:r>
          </w:p>
        </w:tc>
        <w:tc>
          <w:tcPr>
            <w:tcW w:w="753"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其他结果</w:t>
            </w:r>
          </w:p>
        </w:tc>
        <w:tc>
          <w:tcPr>
            <w:tcW w:w="648"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尚未审结</w:t>
            </w:r>
          </w:p>
        </w:tc>
        <w:tc>
          <w:tcPr>
            <w:tcW w:w="509"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总计</w:t>
            </w:r>
          </w:p>
        </w:tc>
        <w:tc>
          <w:tcPr>
            <w:tcW w:w="3448"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未经复议直接起诉</w:t>
            </w:r>
          </w:p>
        </w:tc>
        <w:tc>
          <w:tcPr>
            <w:tcW w:w="3408"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00" w:lineRule="exact"/>
              <w:ind w:firstLine="0" w:firstLineChars="0"/>
              <w:rPr>
                <w:color w:val="000000"/>
                <w:sz w:val="24"/>
              </w:rPr>
            </w:pPr>
          </w:p>
        </w:tc>
        <w:tc>
          <w:tcPr>
            <w:tcW w:w="0" w:type="auto"/>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400" w:lineRule="exact"/>
              <w:ind w:firstLine="0" w:firstLineChars="0"/>
              <w:rPr>
                <w:color w:val="000000"/>
                <w:sz w:val="24"/>
              </w:rPr>
            </w:pPr>
          </w:p>
        </w:tc>
        <w:tc>
          <w:tcPr>
            <w:tcW w:w="0" w:type="auto"/>
            <w:vMerge w:val="continue"/>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line="400" w:lineRule="exact"/>
              <w:ind w:firstLine="0" w:firstLineChars="0"/>
              <w:rPr>
                <w:color w:val="000000"/>
                <w:sz w:val="24"/>
              </w:rPr>
            </w:pPr>
          </w:p>
        </w:tc>
        <w:tc>
          <w:tcPr>
            <w:tcW w:w="0" w:type="auto"/>
            <w:vMerge w:val="continue"/>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line="400" w:lineRule="exact"/>
              <w:ind w:firstLine="0" w:firstLineChars="0"/>
              <w:rPr>
                <w:color w:val="000000"/>
                <w:sz w:val="24"/>
              </w:rPr>
            </w:pPr>
          </w:p>
        </w:tc>
        <w:tc>
          <w:tcPr>
            <w:tcW w:w="0" w:type="auto"/>
            <w:vMerge w:val="continue"/>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line="400" w:lineRule="exact"/>
              <w:ind w:firstLine="0" w:firstLineChars="0"/>
              <w:rPr>
                <w:color w:val="000000"/>
                <w:sz w:val="24"/>
              </w:rPr>
            </w:pPr>
          </w:p>
        </w:tc>
        <w:tc>
          <w:tcPr>
            <w:tcW w:w="67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结果维持</w:t>
            </w:r>
          </w:p>
        </w:tc>
        <w:tc>
          <w:tcPr>
            <w:tcW w:w="76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结果纠正</w:t>
            </w:r>
          </w:p>
        </w:tc>
        <w:tc>
          <w:tcPr>
            <w:tcW w:w="6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其他结果</w:t>
            </w:r>
          </w:p>
        </w:tc>
        <w:tc>
          <w:tcPr>
            <w:tcW w:w="75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尚未审结</w:t>
            </w:r>
          </w:p>
        </w:tc>
        <w:tc>
          <w:tcPr>
            <w:tcW w:w="5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总计</w:t>
            </w:r>
          </w:p>
        </w:tc>
        <w:tc>
          <w:tcPr>
            <w:tcW w:w="72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结果维持</w:t>
            </w:r>
          </w:p>
        </w:tc>
        <w:tc>
          <w:tcPr>
            <w:tcW w:w="70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结果纠正</w:t>
            </w:r>
          </w:p>
        </w:tc>
        <w:tc>
          <w:tcPr>
            <w:tcW w:w="69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其他结果</w:t>
            </w:r>
          </w:p>
        </w:tc>
        <w:tc>
          <w:tcPr>
            <w:tcW w:w="70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尚未审结</w:t>
            </w:r>
          </w:p>
        </w:tc>
        <w:tc>
          <w:tcPr>
            <w:tcW w:w="57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42" w:hRule="atLeast"/>
          <w:jc w:val="center"/>
        </w:trPr>
        <w:tc>
          <w:tcPr>
            <w:tcW w:w="77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ascii="Calibri" w:eastAsia="方正仿宋_GBK"/>
                <w:color w:val="000000"/>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7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64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5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67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rFonts w:hint="eastAsia" w:ascii="Calibri" w:eastAsia="方正仿宋_GBK"/>
                <w:color w:val="000000"/>
                <w:kern w:val="0"/>
                <w:sz w:val="20"/>
                <w:szCs w:val="20"/>
                <w:lang w:val="en-US" w:eastAsia="zh-CN" w:bidi="ar"/>
              </w:rPr>
              <w:t>0</w:t>
            </w:r>
            <w:r>
              <w:rPr>
                <w:color w:val="000000"/>
                <w:kern w:val="0"/>
                <w:sz w:val="20"/>
                <w:szCs w:val="20"/>
                <w:lang w:bidi="ar"/>
              </w:rPr>
              <w:t> </w:t>
            </w:r>
          </w:p>
        </w:tc>
        <w:tc>
          <w:tcPr>
            <w:tcW w:w="76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6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7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5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7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70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69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70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57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ind w:firstLine="0" w:firstLineChars="0"/>
              <w:rPr>
                <w:color w:val="000000"/>
                <w:sz w:val="24"/>
              </w:rPr>
            </w:pPr>
          </w:p>
        </w:tc>
      </w:tr>
    </w:tbl>
    <w:p>
      <w:pPr>
        <w:keepNext w:val="0"/>
        <w:keepLines w:val="0"/>
        <w:pageBreakBefore w:val="0"/>
        <w:widowControl w:val="0"/>
        <w:kinsoku/>
        <w:overflowPunct/>
        <w:topLinePunct w:val="0"/>
        <w:autoSpaceDE/>
        <w:autoSpaceDN/>
        <w:bidi w:val="0"/>
        <w:adjustRightInd/>
        <w:snapToGrid/>
        <w:spacing w:line="520" w:lineRule="exact"/>
        <w:textAlignment w:val="auto"/>
        <w:rPr>
          <w:rFonts w:hint="eastAsia" w:ascii="黑体" w:hAnsi="宋体" w:eastAsia="黑体" w:cs="黑体"/>
          <w:i w:val="0"/>
          <w:caps w:val="0"/>
          <w:color w:val="0D0D0D"/>
          <w:spacing w:val="0"/>
          <w:sz w:val="32"/>
          <w:szCs w:val="32"/>
          <w:shd w:val="clear" w:fill="FFFFFF"/>
          <w:lang w:val="en-US" w:eastAsia="zh-CN"/>
        </w:rPr>
      </w:pPr>
      <w:r>
        <w:rPr>
          <w:rFonts w:hint="eastAsia" w:ascii="黑体" w:hAnsi="宋体" w:eastAsia="黑体" w:cs="黑体"/>
          <w:i w:val="0"/>
          <w:caps w:val="0"/>
          <w:color w:val="0D0D0D"/>
          <w:spacing w:val="0"/>
          <w:sz w:val="32"/>
          <w:szCs w:val="32"/>
          <w:shd w:val="clear" w:fill="FFFFFF"/>
          <w:lang w:val="en-US" w:eastAsia="zh-CN"/>
        </w:rPr>
        <w:t>五、存在问题及改进情况</w:t>
      </w:r>
    </w:p>
    <w:p>
      <w:pPr>
        <w:keepNext w:val="0"/>
        <w:keepLines w:val="0"/>
        <w:pageBreakBefore w:val="0"/>
        <w:widowControl w:val="0"/>
        <w:kinsoku/>
        <w:overflowPunct/>
        <w:topLinePunct w:val="0"/>
        <w:autoSpaceDE/>
        <w:autoSpaceDN/>
        <w:bidi w:val="0"/>
        <w:adjustRightInd/>
        <w:snapToGrid/>
        <w:spacing w:line="520" w:lineRule="exact"/>
        <w:textAlignment w:val="auto"/>
        <w:rPr>
          <w:rFonts w:hint="eastAsia" w:ascii="仿宋" w:hAnsi="仿宋" w:eastAsia="仿宋" w:cs="仿宋"/>
          <w:b w:val="0"/>
          <w:bCs w:val="0"/>
          <w:i w:val="0"/>
          <w:caps w:val="0"/>
          <w:color w:val="0D0D0D"/>
          <w:spacing w:val="0"/>
          <w:sz w:val="32"/>
          <w:szCs w:val="32"/>
          <w:shd w:val="clear" w:fill="FFFFFF"/>
          <w:lang w:val="en-US" w:eastAsia="zh-CN"/>
        </w:rPr>
      </w:pPr>
      <w:r>
        <w:rPr>
          <w:rFonts w:hint="eastAsia" w:ascii="仿宋" w:hAnsi="仿宋" w:eastAsia="仿宋" w:cs="仿宋"/>
          <w:b w:val="0"/>
          <w:bCs w:val="0"/>
          <w:i w:val="0"/>
          <w:caps w:val="0"/>
          <w:color w:val="0D0D0D"/>
          <w:spacing w:val="0"/>
          <w:sz w:val="32"/>
          <w:szCs w:val="32"/>
          <w:shd w:val="clear" w:fill="FFFFFF"/>
          <w:lang w:val="en-US" w:eastAsia="zh-CN"/>
        </w:rPr>
        <w:t>2019年，我乡在政府信息公开工作上取得一定成效，但还存在一些不足，主要表现在：一是信息公开的宣传力度不够，一些群众对信息公开工作不了解。二是个别部门对信息公开认识不足，重视不够，缺乏积极性和主动性，部分信息公开不及时。</w:t>
      </w:r>
    </w:p>
    <w:p>
      <w:pPr>
        <w:keepNext w:val="0"/>
        <w:keepLines w:val="0"/>
        <w:pageBreakBefore w:val="0"/>
        <w:widowControl w:val="0"/>
        <w:kinsoku/>
        <w:overflowPunct/>
        <w:topLinePunct w:val="0"/>
        <w:autoSpaceDE/>
        <w:autoSpaceDN/>
        <w:bidi w:val="0"/>
        <w:adjustRightInd/>
        <w:snapToGrid/>
        <w:spacing w:line="520" w:lineRule="exact"/>
        <w:textAlignment w:val="auto"/>
        <w:rPr>
          <w:rFonts w:hint="eastAsia" w:ascii="仿宋" w:hAnsi="仿宋" w:eastAsia="仿宋" w:cs="仿宋"/>
          <w:b w:val="0"/>
          <w:bCs w:val="0"/>
          <w:i w:val="0"/>
          <w:caps w:val="0"/>
          <w:color w:val="0D0D0D"/>
          <w:spacing w:val="0"/>
          <w:sz w:val="32"/>
          <w:szCs w:val="32"/>
          <w:shd w:val="clear" w:fill="FFFFFF"/>
          <w:lang w:val="en-US" w:eastAsia="zh-CN"/>
        </w:rPr>
      </w:pPr>
    </w:p>
    <w:p>
      <w:pPr>
        <w:keepNext w:val="0"/>
        <w:keepLines w:val="0"/>
        <w:pageBreakBefore w:val="0"/>
        <w:widowControl w:val="0"/>
        <w:kinsoku/>
        <w:overflowPunct/>
        <w:topLinePunct w:val="0"/>
        <w:autoSpaceDE/>
        <w:autoSpaceDN/>
        <w:bidi w:val="0"/>
        <w:adjustRightInd/>
        <w:snapToGrid/>
        <w:spacing w:line="520" w:lineRule="exact"/>
        <w:textAlignment w:val="auto"/>
        <w:rPr>
          <w:rFonts w:hint="eastAsia" w:ascii="仿宋" w:hAnsi="仿宋" w:eastAsia="仿宋" w:cs="仿宋"/>
          <w:b w:val="0"/>
          <w:bCs w:val="0"/>
          <w:i w:val="0"/>
          <w:caps w:val="0"/>
          <w:color w:val="0D0D0D"/>
          <w:spacing w:val="0"/>
          <w:sz w:val="32"/>
          <w:szCs w:val="32"/>
          <w:shd w:val="clear" w:fill="FFFFFF"/>
          <w:lang w:val="en-US" w:eastAsia="zh-CN"/>
        </w:rPr>
      </w:pPr>
      <w:r>
        <w:rPr>
          <w:rFonts w:hint="eastAsia" w:ascii="仿宋" w:hAnsi="仿宋" w:eastAsia="仿宋" w:cs="仿宋"/>
          <w:b w:val="0"/>
          <w:bCs w:val="0"/>
          <w:i w:val="0"/>
          <w:caps w:val="0"/>
          <w:color w:val="0D0D0D"/>
          <w:spacing w:val="0"/>
          <w:sz w:val="32"/>
          <w:szCs w:val="32"/>
          <w:shd w:val="clear" w:fill="FFFFFF"/>
          <w:lang w:val="en-US" w:eastAsia="zh-CN"/>
        </w:rPr>
        <w:t>今后，我乡将在信息公开的深度和时效性等各方面进一步严格要求。做好政务信息报送工作，重点突出脱贫攻坚、互联网+民生等举措、成效和典型事例，做到政府信息公开工作常态化。一是加强信息公开工作人员队伍建设，通过业务培训，提高工作能力，增强工作主动性，形成工作合力，深入推进政府信息公开工作</w:t>
      </w:r>
      <w:bookmarkStart w:id="0" w:name="_GoBack"/>
      <w:bookmarkEnd w:id="0"/>
      <w:r>
        <w:rPr>
          <w:rFonts w:hint="eastAsia" w:ascii="仿宋" w:hAnsi="仿宋" w:eastAsia="仿宋" w:cs="仿宋"/>
          <w:b w:val="0"/>
          <w:bCs w:val="0"/>
          <w:i w:val="0"/>
          <w:caps w:val="0"/>
          <w:color w:val="0D0D0D"/>
          <w:spacing w:val="0"/>
          <w:sz w:val="32"/>
          <w:szCs w:val="32"/>
          <w:shd w:val="clear" w:fill="FFFFFF"/>
          <w:lang w:val="en-US" w:eastAsia="zh-CN"/>
        </w:rPr>
        <w:t>；二是完善信息公开工作机制，继续强化专人负责信息公开工作，明确工作职责；三是加大信息公开宣传力度，提高群众对政府信息信息公开的知晓率和参与度注重政务信息时效性，对群众关注的重大、热点事件公开不滞后。</w:t>
      </w:r>
    </w:p>
    <w:p>
      <w:pPr>
        <w:keepNext w:val="0"/>
        <w:keepLines w:val="0"/>
        <w:pageBreakBefore w:val="0"/>
        <w:widowControl w:val="0"/>
        <w:kinsoku/>
        <w:overflowPunct/>
        <w:topLinePunct w:val="0"/>
        <w:autoSpaceDE/>
        <w:autoSpaceDN/>
        <w:bidi w:val="0"/>
        <w:adjustRightInd/>
        <w:snapToGrid/>
        <w:spacing w:line="520" w:lineRule="exact"/>
        <w:textAlignment w:val="auto"/>
        <w:rPr>
          <w:rFonts w:hint="eastAsia" w:ascii="仿宋" w:hAnsi="仿宋" w:eastAsia="仿宋" w:cs="仿宋"/>
          <w:b w:val="0"/>
          <w:bCs w:val="0"/>
          <w:i w:val="0"/>
          <w:caps w:val="0"/>
          <w:color w:val="0D0D0D"/>
          <w:spacing w:val="0"/>
          <w:sz w:val="32"/>
          <w:szCs w:val="32"/>
          <w:shd w:val="clear" w:fill="FFFFFF"/>
          <w:lang w:val="en-US" w:eastAsia="zh-CN"/>
        </w:rPr>
      </w:pPr>
      <w:r>
        <w:rPr>
          <w:rFonts w:hint="eastAsia" w:ascii="仿宋" w:hAnsi="仿宋" w:eastAsia="仿宋" w:cs="仿宋"/>
          <w:b w:val="0"/>
          <w:bCs w:val="0"/>
          <w:i w:val="0"/>
          <w:caps w:val="0"/>
          <w:color w:val="0D0D0D"/>
          <w:spacing w:val="0"/>
          <w:sz w:val="32"/>
          <w:szCs w:val="32"/>
          <w:shd w:val="clear" w:fill="FFFFFF"/>
          <w:lang w:val="en-US" w:eastAsia="zh-CN"/>
        </w:rPr>
        <w:t>六、其他需报告事项</w:t>
      </w:r>
    </w:p>
    <w:p>
      <w:pPr>
        <w:keepNext w:val="0"/>
        <w:keepLines w:val="0"/>
        <w:pageBreakBefore w:val="0"/>
        <w:widowControl w:val="0"/>
        <w:kinsoku/>
        <w:overflowPunct/>
        <w:topLinePunct w:val="0"/>
        <w:autoSpaceDE/>
        <w:autoSpaceDN/>
        <w:bidi w:val="0"/>
        <w:adjustRightInd/>
        <w:snapToGrid/>
        <w:spacing w:line="520" w:lineRule="exact"/>
        <w:textAlignment w:val="auto"/>
        <w:rPr>
          <w:rFonts w:hint="eastAsia" w:ascii="仿宋" w:hAnsi="仿宋" w:eastAsia="仿宋" w:cs="仿宋"/>
          <w:b w:val="0"/>
          <w:bCs w:val="0"/>
          <w:i w:val="0"/>
          <w:caps w:val="0"/>
          <w:color w:val="0D0D0D"/>
          <w:spacing w:val="0"/>
          <w:sz w:val="32"/>
          <w:szCs w:val="32"/>
          <w:shd w:val="clear" w:fill="FFFFFF"/>
          <w:lang w:val="en-US" w:eastAsia="zh-CN"/>
        </w:rPr>
      </w:pPr>
      <w:r>
        <w:rPr>
          <w:rFonts w:hint="eastAsia" w:ascii="仿宋" w:hAnsi="仿宋" w:eastAsia="仿宋" w:cs="仿宋"/>
          <w:b w:val="0"/>
          <w:bCs w:val="0"/>
          <w:i w:val="0"/>
          <w:caps w:val="0"/>
          <w:color w:val="0D0D0D"/>
          <w:spacing w:val="0"/>
          <w:sz w:val="32"/>
          <w:szCs w:val="32"/>
          <w:shd w:val="clear" w:fill="FFFFFF"/>
          <w:lang w:val="en-US" w:eastAsia="zh-CN"/>
        </w:rPr>
        <w:t>无。</w:t>
      </w:r>
    </w:p>
    <w:p>
      <w:pPr>
        <w:keepNext w:val="0"/>
        <w:keepLines w:val="0"/>
        <w:pageBreakBefore w:val="0"/>
        <w:widowControl w:val="0"/>
        <w:kinsoku/>
        <w:wordWrap w:val="0"/>
        <w:overflowPunct/>
        <w:topLinePunct w:val="0"/>
        <w:autoSpaceDE/>
        <w:autoSpaceDN/>
        <w:bidi w:val="0"/>
        <w:adjustRightInd/>
        <w:snapToGrid/>
        <w:spacing w:line="520" w:lineRule="exact"/>
        <w:jc w:val="right"/>
        <w:textAlignment w:val="auto"/>
        <w:rPr>
          <w:rFonts w:hint="default" w:ascii="仿宋" w:hAnsi="仿宋" w:eastAsia="仿宋" w:cs="仿宋"/>
          <w:b w:val="0"/>
          <w:bCs w:val="0"/>
          <w:i w:val="0"/>
          <w:caps w:val="0"/>
          <w:color w:val="0D0D0D"/>
          <w:spacing w:val="0"/>
          <w:sz w:val="32"/>
          <w:szCs w:val="32"/>
          <w:shd w:val="clear" w:fill="FFFFFF"/>
          <w:lang w:val="en-US" w:eastAsia="zh-CN"/>
        </w:rPr>
      </w:pPr>
      <w:r>
        <w:rPr>
          <w:rFonts w:hint="eastAsia" w:ascii="仿宋" w:hAnsi="仿宋" w:eastAsia="仿宋" w:cs="仿宋"/>
          <w:b w:val="0"/>
          <w:bCs w:val="0"/>
          <w:i w:val="0"/>
          <w:caps w:val="0"/>
          <w:color w:val="0D0D0D"/>
          <w:spacing w:val="0"/>
          <w:sz w:val="32"/>
          <w:szCs w:val="32"/>
          <w:shd w:val="clear" w:fill="FFFFFF"/>
          <w:lang w:val="en-US" w:eastAsia="zh-CN"/>
        </w:rPr>
        <w:t xml:space="preserve">朱堂乡人民政府  </w:t>
      </w:r>
    </w:p>
    <w:p>
      <w:pPr>
        <w:keepNext w:val="0"/>
        <w:keepLines w:val="0"/>
        <w:pageBreakBefore w:val="0"/>
        <w:widowControl w:val="0"/>
        <w:kinsoku/>
        <w:overflowPunct/>
        <w:topLinePunct w:val="0"/>
        <w:autoSpaceDE/>
        <w:autoSpaceDN/>
        <w:bidi w:val="0"/>
        <w:adjustRightInd/>
        <w:snapToGrid/>
        <w:spacing w:line="520" w:lineRule="exact"/>
        <w:jc w:val="right"/>
        <w:textAlignment w:val="auto"/>
        <w:rPr>
          <w:rFonts w:hint="default" w:ascii="仿宋" w:hAnsi="仿宋" w:eastAsia="仿宋" w:cs="仿宋"/>
          <w:b w:val="0"/>
          <w:bCs w:val="0"/>
          <w:i w:val="0"/>
          <w:caps w:val="0"/>
          <w:color w:val="0D0D0D"/>
          <w:spacing w:val="0"/>
          <w:sz w:val="32"/>
          <w:szCs w:val="32"/>
          <w:shd w:val="clear" w:fill="FFFFFF"/>
          <w:lang w:val="en-US" w:eastAsia="zh-CN"/>
        </w:rPr>
      </w:pPr>
      <w:r>
        <w:rPr>
          <w:rFonts w:hint="eastAsia" w:ascii="仿宋" w:hAnsi="仿宋" w:eastAsia="仿宋" w:cs="仿宋"/>
          <w:b w:val="0"/>
          <w:bCs w:val="0"/>
          <w:i w:val="0"/>
          <w:caps w:val="0"/>
          <w:color w:val="0D0D0D"/>
          <w:spacing w:val="0"/>
          <w:sz w:val="32"/>
          <w:szCs w:val="32"/>
          <w:shd w:val="clear" w:fill="FFFFFF"/>
          <w:lang w:val="en-US" w:eastAsia="zh-CN"/>
        </w:rPr>
        <w:t>2019年12月13日</w:t>
      </w:r>
    </w:p>
    <w:sectPr>
      <w:headerReference r:id="rId9" w:type="default"/>
      <w:footerReference r:id="rId10" w:type="default"/>
      <w:pgSz w:w="11906" w:h="16838"/>
      <w:pgMar w:top="1440" w:right="1587" w:bottom="1440"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F380758-F037-4054-8329-228ECEACDB2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8DE5215-C732-4E6B-BC4F-B80E2DD998FF}"/>
  </w:font>
  <w:font w:name="方正仿宋_GBK">
    <w:panose1 w:val="03000509000000000000"/>
    <w:charset w:val="86"/>
    <w:family w:val="script"/>
    <w:pitch w:val="default"/>
    <w:sig w:usb0="00000001" w:usb1="080E0000" w:usb2="00000000" w:usb3="00000000" w:csb0="00040000" w:csb1="00000000"/>
    <w:embedRegular r:id="rId3" w:fontKey="{3FDF7A16-602E-4566-B6AD-8EAB7C0D26F1}"/>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4" w:fontKey="{4E395EF7-4297-4954-8AA0-9D2F73DFA826}"/>
  </w:font>
  <w:font w:name="仿宋">
    <w:panose1 w:val="02010609060101010101"/>
    <w:charset w:val="86"/>
    <w:family w:val="auto"/>
    <w:pitch w:val="default"/>
    <w:sig w:usb0="800002BF" w:usb1="38CF7CFA" w:usb2="00000016" w:usb3="00000000" w:csb0="00040001" w:csb1="00000000"/>
    <w:embedRegular r:id="rId5" w:fontKey="{ACF9914B-F88C-4780-8A3B-DF48DDFF3A7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360"/>
      <w:rPr>
        <w:rStyle w:val="9"/>
      </w:rPr>
    </w:pPr>
    <w:r>
      <w:fldChar w:fldCharType="begin"/>
    </w:r>
    <w:r>
      <w:rPr>
        <w:rStyle w:val="9"/>
        <w:rFonts w:eastAsiaTheme="minorEastAsia" w:cstheme="minorBidi"/>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E114C0"/>
    <w:rsid w:val="08ED0E30"/>
    <w:rsid w:val="13B4516F"/>
    <w:rsid w:val="1C5A3D5A"/>
    <w:rsid w:val="1F615C32"/>
    <w:rsid w:val="30753EEC"/>
    <w:rsid w:val="30A60689"/>
    <w:rsid w:val="36B82D7B"/>
    <w:rsid w:val="5BF97CA0"/>
    <w:rsid w:val="5DEB6F8A"/>
    <w:rsid w:val="64E114C0"/>
    <w:rsid w:val="65343554"/>
    <w:rsid w:val="7FF62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580" w:lineRule="exact"/>
      <w:ind w:firstLine="200" w:firstLineChars="200"/>
      <w:jc w:val="both"/>
    </w:pPr>
    <w:rPr>
      <w:rFonts w:ascii="Calibri" w:hAnsi="Calibri" w:eastAsia="方正仿宋_GBK" w:cs="Times New Roman"/>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sz w:val="18"/>
      <w:szCs w:val="18"/>
    </w:rPr>
  </w:style>
  <w:style w:type="paragraph" w:styleId="3">
    <w:name w:val="header"/>
    <w:basedOn w:val="1"/>
    <w:qFormat/>
    <w:uiPriority w:val="0"/>
    <w:pPr>
      <w:tabs>
        <w:tab w:val="center" w:pos="4153"/>
        <w:tab w:val="right" w:pos="8306"/>
      </w:tabs>
      <w:snapToGrid w:val="0"/>
      <w:spacing w:line="240" w:lineRule="atLeast"/>
      <w:jc w:val="center"/>
    </w:pPr>
    <w:rPr>
      <w:sz w:val="18"/>
      <w:szCs w:val="18"/>
    </w:rPr>
  </w:style>
  <w:style w:type="paragraph" w:styleId="4">
    <w:name w:val="toc 1"/>
    <w:basedOn w:val="5"/>
    <w:next w:val="1"/>
    <w:semiHidden/>
    <w:qFormat/>
    <w:uiPriority w:val="0"/>
    <w:pPr>
      <w:widowControl w:val="0"/>
    </w:pPr>
    <w:rPr>
      <w:kern w:val="2"/>
      <w:sz w:val="44"/>
      <w:szCs w:val="44"/>
    </w:rPr>
  </w:style>
  <w:style w:type="paragraph" w:customStyle="1" w:styleId="5">
    <w:name w:val="样式1"/>
    <w:basedOn w:val="1"/>
    <w:qFormat/>
    <w:uiPriority w:val="0"/>
    <w:pPr>
      <w:widowControl/>
      <w:spacing w:line="700" w:lineRule="exact"/>
      <w:ind w:firstLine="0" w:firstLineChars="0"/>
      <w:jc w:val="center"/>
      <w:outlineLvl w:val="0"/>
    </w:pPr>
    <w:rPr>
      <w:rFonts w:eastAsia="方正小标宋_GBK"/>
      <w:kern w:val="0"/>
      <w:sz w:val="40"/>
      <w:szCs w:val="40"/>
    </w:rPr>
  </w:style>
  <w:style w:type="paragraph" w:styleId="6">
    <w:name w:val="Normal (Web)"/>
    <w:basedOn w:val="1"/>
    <w:qFormat/>
    <w:uiPriority w:val="0"/>
    <w:pPr>
      <w:spacing w:before="100" w:beforeAutospacing="1" w:after="100" w:afterAutospacing="1" w:line="580" w:lineRule="atLeast"/>
      <w:jc w:val="left"/>
    </w:pPr>
    <w:rPr>
      <w:snapToGrid w:val="0"/>
      <w:kern w:val="0"/>
      <w:sz w:val="24"/>
      <w:szCs w:val="32"/>
    </w:rPr>
  </w:style>
  <w:style w:type="character" w:styleId="9">
    <w:name w:val="page number"/>
    <w:basedOn w:val="8"/>
    <w:qFormat/>
    <w:uiPriority w:val="0"/>
    <w:rPr>
      <w:rFonts w:ascii="Times New Roman" w:hAnsi="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2019-12-16T03:16:00Z</dcterms:created>
  <dc:creator>山河岁月</dc:creator>
  <cp:lastModifiedBy>Administrator</cp:lastModifiedBy>
  <cp:lastPrinted>2020-01-14T08:37:44Z</cp:lastPrinted>
  <dcterms:modified xsi:type="dcterms:W3CDTF">2020-01-14T08:38:18Z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2052-11.1.0.9422</vt:lpwstr>
  </property>
</Properties>
</file>