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lang w:eastAsia="zh-CN"/>
        </w:rPr>
      </w:pPr>
      <w:r>
        <w:rPr>
          <w:rFonts w:hint="eastAsia" w:ascii="文星标宋" w:hAnsi="文星标宋" w:eastAsia="文星标宋" w:cs="文星标宋"/>
          <w:color w:val="auto"/>
          <w:sz w:val="44"/>
          <w:szCs w:val="44"/>
          <w:lang w:eastAsia="zh-CN"/>
        </w:rPr>
        <w:t>罗山县城市管理局</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r>
        <w:rPr>
          <w:rFonts w:hint="eastAsia" w:ascii="文星标宋" w:hAnsi="文星标宋" w:eastAsia="文星标宋" w:cs="文星标宋"/>
          <w:color w:val="auto"/>
          <w:sz w:val="44"/>
          <w:szCs w:val="44"/>
          <w:lang w:val="en-US" w:eastAsia="zh-CN"/>
        </w:rPr>
        <w:t>2019年</w:t>
      </w:r>
      <w:r>
        <w:rPr>
          <w:rFonts w:hint="eastAsia" w:ascii="文星标宋" w:hAnsi="文星标宋" w:eastAsia="文星标宋" w:cs="文星标宋"/>
          <w:color w:val="auto"/>
          <w:sz w:val="44"/>
          <w:szCs w:val="44"/>
        </w:rPr>
        <w:t>政府信息公开工作年度报告</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ascii="仿宋_GB2312" w:hAnsi="仿宋_GB2312" w:eastAsia="仿宋_GB2312" w:cs="仿宋_GB2312"/>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rPr>
      </w:pPr>
      <w:r>
        <w:rPr>
          <w:rFonts w:hint="eastAsia" w:ascii="仿宋_GB2312" w:hAnsi="仿宋_GB2312" w:eastAsia="仿宋_GB2312" w:cs="仿宋_GB2312"/>
          <w:b w:val="0"/>
          <w:i w:val="0"/>
          <w:caps w:val="0"/>
          <w:color w:val="auto"/>
          <w:spacing w:val="0"/>
          <w:kern w:val="0"/>
          <w:sz w:val="32"/>
          <w:szCs w:val="32"/>
          <w:shd w:val="clear" w:fill="FFFFFF"/>
        </w:rPr>
        <w:t>根据</w:t>
      </w:r>
      <w:r>
        <w:rPr>
          <w:rFonts w:hint="eastAsia" w:ascii="仿宋_GB2312" w:hAnsi="仿宋_GB2312" w:eastAsia="仿宋_GB2312" w:cs="仿宋_GB2312"/>
          <w:b w:val="0"/>
          <w:i w:val="0"/>
          <w:caps w:val="0"/>
          <w:color w:val="auto"/>
          <w:spacing w:val="0"/>
          <w:kern w:val="0"/>
          <w:sz w:val="32"/>
          <w:szCs w:val="32"/>
          <w:shd w:val="clear" w:fill="FFFFFF"/>
          <w:lang w:val="en-US" w:eastAsia="zh-CN"/>
        </w:rPr>
        <w:t>2019年</w:t>
      </w:r>
      <w:r>
        <w:rPr>
          <w:rFonts w:hint="eastAsia" w:ascii="仿宋_GB2312" w:hAnsi="仿宋_GB2312" w:eastAsia="仿宋_GB2312" w:cs="仿宋_GB2312"/>
          <w:b w:val="0"/>
          <w:i w:val="0"/>
          <w:caps w:val="0"/>
          <w:color w:val="auto"/>
          <w:spacing w:val="0"/>
          <w:kern w:val="0"/>
          <w:sz w:val="32"/>
          <w:szCs w:val="32"/>
          <w:shd w:val="clear" w:fill="FFFFFF"/>
          <w:lang w:eastAsia="zh-CN"/>
        </w:rPr>
        <w:t>新修订</w:t>
      </w:r>
      <w:r>
        <w:rPr>
          <w:rFonts w:hint="eastAsia" w:ascii="仿宋_GB2312" w:hAnsi="仿宋_GB2312" w:eastAsia="仿宋_GB2312" w:cs="仿宋_GB2312"/>
          <w:b w:val="0"/>
          <w:i w:val="0"/>
          <w:caps w:val="0"/>
          <w:color w:val="auto"/>
          <w:spacing w:val="0"/>
          <w:kern w:val="0"/>
          <w:sz w:val="32"/>
          <w:szCs w:val="32"/>
          <w:shd w:val="clear" w:fill="FFFFFF"/>
        </w:rPr>
        <w:t>《中华人民共和国政府信息公开条例》规定，现公布201</w:t>
      </w:r>
      <w:r>
        <w:rPr>
          <w:rFonts w:hint="eastAsia" w:ascii="仿宋_GB2312" w:hAnsi="仿宋_GB2312" w:eastAsia="仿宋_GB2312" w:cs="仿宋_GB2312"/>
          <w:b w:val="0"/>
          <w:i w:val="0"/>
          <w:caps w:val="0"/>
          <w:color w:val="auto"/>
          <w:spacing w:val="0"/>
          <w:kern w:val="0"/>
          <w:sz w:val="32"/>
          <w:szCs w:val="32"/>
          <w:shd w:val="clear" w:fill="FFFFFF"/>
          <w:lang w:val="en-US" w:eastAsia="zh-CN"/>
        </w:rPr>
        <w:t>9</w:t>
      </w:r>
      <w:r>
        <w:rPr>
          <w:rFonts w:hint="eastAsia" w:ascii="仿宋_GB2312" w:hAnsi="仿宋_GB2312" w:eastAsia="仿宋_GB2312" w:cs="仿宋_GB2312"/>
          <w:b w:val="0"/>
          <w:i w:val="0"/>
          <w:caps w:val="0"/>
          <w:color w:val="auto"/>
          <w:spacing w:val="0"/>
          <w:kern w:val="0"/>
          <w:sz w:val="32"/>
          <w:szCs w:val="32"/>
          <w:shd w:val="clear" w:fill="FFFFFF"/>
        </w:rPr>
        <w:t>年罗山县城市管理局政府信息公开工作年度报告，内容涵盖罗山县城市管理局201</w:t>
      </w:r>
      <w:r>
        <w:rPr>
          <w:rFonts w:hint="eastAsia" w:ascii="仿宋_GB2312" w:hAnsi="仿宋_GB2312" w:eastAsia="仿宋_GB2312" w:cs="仿宋_GB2312"/>
          <w:b w:val="0"/>
          <w:i w:val="0"/>
          <w:caps w:val="0"/>
          <w:color w:val="auto"/>
          <w:spacing w:val="0"/>
          <w:kern w:val="0"/>
          <w:sz w:val="32"/>
          <w:szCs w:val="32"/>
          <w:shd w:val="clear" w:fill="FFFFFF"/>
          <w:lang w:val="en-US" w:eastAsia="zh-CN"/>
        </w:rPr>
        <w:t>9</w:t>
      </w:r>
      <w:r>
        <w:rPr>
          <w:rFonts w:hint="eastAsia" w:ascii="仿宋_GB2312" w:hAnsi="仿宋_GB2312" w:eastAsia="仿宋_GB2312" w:cs="仿宋_GB2312"/>
          <w:b w:val="0"/>
          <w:i w:val="0"/>
          <w:caps w:val="0"/>
          <w:color w:val="auto"/>
          <w:spacing w:val="0"/>
          <w:kern w:val="0"/>
          <w:sz w:val="32"/>
          <w:szCs w:val="32"/>
          <w:shd w:val="clear" w:fill="FFFFFF"/>
        </w:rPr>
        <w:t>年1月1日至12月31日期间的政府信息公开工作情况。如对本报告有任何疑问，请联系罗山县城市管理局办公室，电话：0376-2139489。现将罗山县城市管理局201</w:t>
      </w:r>
      <w:r>
        <w:rPr>
          <w:rFonts w:hint="eastAsia" w:ascii="仿宋_GB2312" w:hAnsi="仿宋_GB2312" w:eastAsia="仿宋_GB2312" w:cs="仿宋_GB2312"/>
          <w:b w:val="0"/>
          <w:i w:val="0"/>
          <w:caps w:val="0"/>
          <w:color w:val="auto"/>
          <w:spacing w:val="0"/>
          <w:kern w:val="0"/>
          <w:sz w:val="32"/>
          <w:szCs w:val="32"/>
          <w:shd w:val="clear" w:fill="FFFFFF"/>
          <w:lang w:val="en-US" w:eastAsia="zh-CN"/>
        </w:rPr>
        <w:t>9</w:t>
      </w:r>
      <w:r>
        <w:rPr>
          <w:rFonts w:hint="eastAsia" w:ascii="仿宋_GB2312" w:hAnsi="仿宋_GB2312" w:eastAsia="仿宋_GB2312" w:cs="仿宋_GB2312"/>
          <w:b w:val="0"/>
          <w:i w:val="0"/>
          <w:caps w:val="0"/>
          <w:color w:val="auto"/>
          <w:spacing w:val="0"/>
          <w:kern w:val="0"/>
          <w:sz w:val="32"/>
          <w:szCs w:val="32"/>
          <w:shd w:val="clear" w:fill="FFFFFF"/>
        </w:rPr>
        <w:t>年度政府信息公开工作报告如下：</w:t>
      </w:r>
      <w:r>
        <w:rPr>
          <w:rFonts w:hint="eastAsia" w:ascii="仿宋_GB2312" w:hAnsi="仿宋_GB2312" w:eastAsia="仿宋_GB2312" w:cs="仿宋_GB2312"/>
          <w:b w:val="0"/>
          <w:i w:val="0"/>
          <w:caps w:val="0"/>
          <w:color w:val="auto"/>
          <w:spacing w:val="0"/>
          <w:kern w:val="0"/>
          <w:sz w:val="32"/>
          <w:szCs w:val="32"/>
          <w:shd w:val="clear" w:fill="FFFFFF"/>
          <w:lang w:val="en-US" w:eastAsia="zh-CN"/>
        </w:rPr>
        <w:t xml:space="preserve">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黑体" w:hAnsi="黑体" w:eastAsia="黑体"/>
          <w:color w:val="auto"/>
        </w:rPr>
      </w:pPr>
      <w:r>
        <w:rPr>
          <w:rFonts w:ascii="黑体" w:hAnsi="黑体" w:eastAsia="黑体"/>
          <w:color w:val="auto"/>
          <w:sz w:val="32"/>
          <w:szCs w:val="32"/>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i w:val="0"/>
          <w:caps w:val="0"/>
          <w:color w:val="auto"/>
          <w:spacing w:val="0"/>
          <w:kern w:val="0"/>
          <w:sz w:val="32"/>
          <w:szCs w:val="32"/>
          <w:shd w:val="clear" w:fill="FFFFFF"/>
        </w:rPr>
      </w:pPr>
      <w:r>
        <w:rPr>
          <w:rFonts w:hint="eastAsia" w:ascii="楷体" w:hAnsi="楷体" w:eastAsia="楷体" w:cs="楷体"/>
          <w:b/>
          <w:bCs/>
          <w:color w:val="auto"/>
          <w:sz w:val="32"/>
          <w:szCs w:val="32"/>
          <w:lang w:val="en-US" w:eastAsia="zh-CN"/>
        </w:rPr>
        <w:t>（一）“五公开”情况：</w:t>
      </w:r>
      <w:r>
        <w:rPr>
          <w:rFonts w:hint="eastAsia" w:ascii="仿宋_GB2312" w:hAnsi="仿宋_GB2312" w:eastAsia="仿宋_GB2312" w:cs="仿宋_GB2312"/>
          <w:b w:val="0"/>
          <w:i w:val="0"/>
          <w:caps w:val="0"/>
          <w:color w:val="auto"/>
          <w:spacing w:val="0"/>
          <w:kern w:val="0"/>
          <w:sz w:val="32"/>
          <w:szCs w:val="32"/>
          <w:shd w:val="clear" w:fill="FFFFFF"/>
        </w:rPr>
        <w:t>我局认真对照政务公开工作要点要求，进一步推进决策、执行、管理、服务、结果公开，对涉及本部门的重要领域公开事项</w:t>
      </w:r>
      <w:r>
        <w:rPr>
          <w:rFonts w:hint="eastAsia" w:ascii="仿宋_GB2312" w:hAnsi="仿宋_GB2312" w:eastAsia="仿宋_GB2312" w:cs="仿宋_GB2312"/>
          <w:b w:val="0"/>
          <w:i w:val="0"/>
          <w:caps w:val="0"/>
          <w:color w:val="auto"/>
          <w:spacing w:val="0"/>
          <w:kern w:val="0"/>
          <w:sz w:val="32"/>
          <w:szCs w:val="32"/>
          <w:shd w:val="clear" w:fill="FFFFFF"/>
          <w:lang w:eastAsia="zh-CN"/>
        </w:rPr>
        <w:t>、部门预决算、“三公”经费等内容</w:t>
      </w:r>
      <w:r>
        <w:rPr>
          <w:rFonts w:hint="eastAsia" w:ascii="仿宋_GB2312" w:hAnsi="仿宋_GB2312" w:eastAsia="仿宋_GB2312" w:cs="仿宋_GB2312"/>
          <w:b w:val="0"/>
          <w:i w:val="0"/>
          <w:caps w:val="0"/>
          <w:color w:val="auto"/>
          <w:spacing w:val="0"/>
          <w:kern w:val="0"/>
          <w:sz w:val="32"/>
          <w:szCs w:val="32"/>
          <w:shd w:val="clear" w:fill="FFFFFF"/>
        </w:rPr>
        <w:t>主动公开，增强政务公开实效，保障人民群众的知情权、参与权。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default" w:ascii="仿宋_GB2312" w:hAnsi="仿宋_GB2312" w:eastAsia="仿宋_GB2312" w:cs="仿宋_GB2312"/>
          <w:b w:val="0"/>
          <w:i w:val="0"/>
          <w:caps w:val="0"/>
          <w:color w:val="auto"/>
          <w:spacing w:val="0"/>
          <w:kern w:val="0"/>
          <w:sz w:val="32"/>
          <w:szCs w:val="32"/>
          <w:shd w:val="clear" w:fill="FFFFFF"/>
          <w:lang w:val="en-US" w:eastAsia="zh-CN"/>
        </w:rPr>
      </w:pPr>
      <w:r>
        <w:rPr>
          <w:rFonts w:hint="eastAsia" w:ascii="楷体" w:hAnsi="楷体" w:eastAsia="楷体" w:cs="楷体"/>
          <w:b/>
          <w:bCs/>
          <w:color w:val="auto"/>
          <w:sz w:val="32"/>
          <w:szCs w:val="32"/>
          <w:lang w:val="en-US" w:eastAsia="zh-CN"/>
        </w:rPr>
        <w:t>（二）政务公开平台建设及信息更新情况：</w:t>
      </w:r>
      <w:r>
        <w:rPr>
          <w:rFonts w:hint="eastAsia" w:ascii="仿宋_GB2312" w:hAnsi="仿宋_GB2312" w:eastAsia="仿宋_GB2312" w:cs="仿宋_GB2312"/>
          <w:b w:val="0"/>
          <w:bCs w:val="0"/>
          <w:color w:val="auto"/>
          <w:sz w:val="32"/>
          <w:szCs w:val="32"/>
          <w:lang w:val="en-US" w:eastAsia="zh-CN"/>
        </w:rPr>
        <w:t>我局</w:t>
      </w:r>
      <w:r>
        <w:rPr>
          <w:rFonts w:hint="eastAsia" w:ascii="仿宋_GB2312" w:hAnsi="仿宋_GB2312" w:eastAsia="仿宋_GB2312" w:cs="仿宋_GB2312"/>
          <w:b w:val="0"/>
          <w:i w:val="0"/>
          <w:caps w:val="0"/>
          <w:color w:val="auto"/>
          <w:spacing w:val="0"/>
          <w:kern w:val="0"/>
          <w:sz w:val="32"/>
          <w:szCs w:val="32"/>
          <w:shd w:val="clear" w:fill="FFFFFF"/>
          <w:lang w:val="en-US" w:eastAsia="zh-CN"/>
        </w:rPr>
        <w:t>以县政府部门网站和“罗山县数字化城市管理”微信公众号作为政务公开平台，安排专人负责公开工作，做好政府信息审批和审核，严格按照保密制度规定，对不宜公开的信息坚决不公开，对该公开的一律公开，确保每周都有部门信息动态更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jc w:val="both"/>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（三）网上政务服务、网上审批、网上便民办事等情况：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b w:val="0"/>
          <w:i w:val="0"/>
          <w:caps w:val="0"/>
          <w:color w:val="auto"/>
          <w:spacing w:val="0"/>
          <w:kern w:val="0"/>
          <w:sz w:val="32"/>
          <w:szCs w:val="32"/>
          <w:shd w:val="clear" w:fill="FFFFFF"/>
          <w:lang w:val="en-US" w:eastAsia="zh-CN"/>
        </w:rPr>
        <w:t>我局继续贯彻落实关于深化行政审批制度改革工作要求，梳理事项，规范程序，积极推进行政审批工作任务的落实。</w:t>
      </w:r>
      <w:r>
        <w:rPr>
          <w:rFonts w:hint="eastAsia" w:ascii="仿宋_GB2312" w:hAnsi="仿宋_GB2312" w:eastAsia="仿宋_GB2312" w:cs="仿宋_GB2312"/>
          <w:b w:val="0"/>
          <w:i w:val="0"/>
          <w:caps w:val="0"/>
          <w:color w:val="auto"/>
          <w:spacing w:val="0"/>
          <w:kern w:val="0"/>
          <w:sz w:val="32"/>
          <w:szCs w:val="32"/>
          <w:shd w:val="clear" w:fill="FFFFFF"/>
          <w:lang w:val="en-US" w:eastAsia="zh-CN"/>
        </w:rPr>
        <w:t>为</w:t>
      </w:r>
      <w:r>
        <w:rPr>
          <w:rFonts w:hint="default" w:ascii="仿宋_GB2312" w:hAnsi="仿宋_GB2312" w:eastAsia="仿宋_GB2312" w:cs="仿宋_GB2312"/>
          <w:b w:val="0"/>
          <w:i w:val="0"/>
          <w:caps w:val="0"/>
          <w:color w:val="auto"/>
          <w:spacing w:val="0"/>
          <w:kern w:val="0"/>
          <w:sz w:val="32"/>
          <w:szCs w:val="32"/>
          <w:shd w:val="clear" w:fill="FFFFFF"/>
          <w:lang w:val="en-US" w:eastAsia="zh-CN"/>
        </w:rPr>
        <w:t>积极推行电子政务，在网上公开审批条件和申办程序，向社会公布电子邮箱和咨询电话，对立等可取的事项采取网上预报审核，现场当即办理。在</w:t>
      </w:r>
      <w:r>
        <w:rPr>
          <w:rFonts w:hint="eastAsia" w:ascii="仿宋_GB2312" w:hAnsi="仿宋_GB2312" w:eastAsia="仿宋_GB2312" w:cs="仿宋_GB2312"/>
          <w:b w:val="0"/>
          <w:i w:val="0"/>
          <w:caps w:val="0"/>
          <w:color w:val="auto"/>
          <w:spacing w:val="0"/>
          <w:kern w:val="0"/>
          <w:sz w:val="32"/>
          <w:szCs w:val="32"/>
          <w:shd w:val="clear" w:fill="FFFFFF"/>
          <w:lang w:val="en-US" w:eastAsia="zh-CN"/>
        </w:rPr>
        <w:t>罗山县</w:t>
      </w:r>
      <w:r>
        <w:rPr>
          <w:rFonts w:hint="default" w:ascii="仿宋_GB2312" w:hAnsi="仿宋_GB2312" w:eastAsia="仿宋_GB2312" w:cs="仿宋_GB2312"/>
          <w:b w:val="0"/>
          <w:i w:val="0"/>
          <w:caps w:val="0"/>
          <w:color w:val="auto"/>
          <w:spacing w:val="0"/>
          <w:kern w:val="0"/>
          <w:sz w:val="32"/>
          <w:szCs w:val="32"/>
          <w:shd w:val="clear" w:fill="FFFFFF"/>
          <w:lang w:val="en-US" w:eastAsia="zh-CN"/>
        </w:rPr>
        <w:t>行政审批服务网上，我局公布全部公开办理事项</w:t>
      </w:r>
      <w:r>
        <w:rPr>
          <w:rFonts w:hint="eastAsia" w:ascii="仿宋_GB2312" w:hAnsi="仿宋_GB2312" w:eastAsia="仿宋_GB2312" w:cs="仿宋_GB2312"/>
          <w:b w:val="0"/>
          <w:i w:val="0"/>
          <w:caps w:val="0"/>
          <w:color w:val="auto"/>
          <w:spacing w:val="0"/>
          <w:kern w:val="0"/>
          <w:sz w:val="32"/>
          <w:szCs w:val="32"/>
          <w:shd w:val="clear" w:fill="FFFFFF"/>
          <w:lang w:val="en-US" w:eastAsia="zh-CN"/>
        </w:rPr>
        <w:t>26</w:t>
      </w:r>
      <w:r>
        <w:rPr>
          <w:rFonts w:hint="default" w:ascii="仿宋_GB2312" w:hAnsi="仿宋_GB2312" w:eastAsia="仿宋_GB2312" w:cs="仿宋_GB2312"/>
          <w:b w:val="0"/>
          <w:i w:val="0"/>
          <w:caps w:val="0"/>
          <w:color w:val="auto"/>
          <w:spacing w:val="0"/>
          <w:kern w:val="0"/>
          <w:sz w:val="32"/>
          <w:szCs w:val="32"/>
          <w:shd w:val="clear" w:fill="FFFFFF"/>
          <w:lang w:val="en-US" w:eastAsia="zh-CN"/>
        </w:rPr>
        <w:t>项，对每一事项详细介绍了办理流程及相关要求</w:t>
      </w:r>
      <w:r>
        <w:rPr>
          <w:rFonts w:hint="eastAsia" w:ascii="仿宋_GB2312" w:hAnsi="仿宋_GB2312" w:eastAsia="仿宋_GB2312" w:cs="仿宋_GB2312"/>
          <w:b w:val="0"/>
          <w:i w:val="0"/>
          <w:caps w:val="0"/>
          <w:color w:val="auto"/>
          <w:spacing w:val="0"/>
          <w:kern w:val="0"/>
          <w:sz w:val="32"/>
          <w:szCs w:val="32"/>
          <w:shd w:val="clear" w:fill="FFFFFF"/>
          <w:lang w:val="en-US" w:eastAsia="zh-CN"/>
        </w:rPr>
        <w:t>，</w:t>
      </w:r>
      <w:r>
        <w:rPr>
          <w:rFonts w:hint="default" w:ascii="仿宋_GB2312" w:hAnsi="仿宋_GB2312" w:eastAsia="仿宋_GB2312" w:cs="仿宋_GB2312"/>
          <w:b w:val="0"/>
          <w:i w:val="0"/>
          <w:caps w:val="0"/>
          <w:color w:val="auto"/>
          <w:spacing w:val="0"/>
          <w:kern w:val="0"/>
          <w:sz w:val="32"/>
          <w:szCs w:val="32"/>
          <w:shd w:val="clear" w:fill="FFFFFF"/>
          <w:lang w:val="en-US" w:eastAsia="zh-CN"/>
        </w:rPr>
        <w:t>具体包括：事项名称、类型名称、主体部门、事项性质、承诺期限等相关环节，并载有相关表格示范填写的实例演示，极大地方便了申请人。201</w:t>
      </w:r>
      <w:r>
        <w:rPr>
          <w:rFonts w:hint="eastAsia" w:ascii="仿宋_GB2312" w:hAnsi="仿宋_GB2312" w:eastAsia="仿宋_GB2312" w:cs="仿宋_GB2312"/>
          <w:b w:val="0"/>
          <w:i w:val="0"/>
          <w:caps w:val="0"/>
          <w:color w:val="auto"/>
          <w:spacing w:val="0"/>
          <w:kern w:val="0"/>
          <w:sz w:val="32"/>
          <w:szCs w:val="32"/>
          <w:shd w:val="clear" w:fill="FFFFFF"/>
          <w:lang w:val="en-US" w:eastAsia="zh-CN"/>
        </w:rPr>
        <w:t>9</w:t>
      </w:r>
      <w:r>
        <w:rPr>
          <w:rFonts w:hint="default" w:ascii="仿宋_GB2312" w:hAnsi="仿宋_GB2312" w:eastAsia="仿宋_GB2312" w:cs="仿宋_GB2312"/>
          <w:b w:val="0"/>
          <w:i w:val="0"/>
          <w:caps w:val="0"/>
          <w:color w:val="auto"/>
          <w:spacing w:val="0"/>
          <w:kern w:val="0"/>
          <w:sz w:val="32"/>
          <w:szCs w:val="32"/>
          <w:shd w:val="clear" w:fill="FFFFFF"/>
          <w:lang w:val="en-US" w:eastAsia="zh-CN"/>
        </w:rPr>
        <w:t>年我局在规定时限内全部办结</w:t>
      </w:r>
      <w:r>
        <w:rPr>
          <w:rFonts w:hint="eastAsia" w:ascii="仿宋_GB2312" w:hAnsi="仿宋_GB2312" w:eastAsia="仿宋_GB2312" w:cs="仿宋_GB2312"/>
          <w:b w:val="0"/>
          <w:i w:val="0"/>
          <w:caps w:val="0"/>
          <w:color w:val="auto"/>
          <w:spacing w:val="0"/>
          <w:kern w:val="0"/>
          <w:sz w:val="32"/>
          <w:szCs w:val="32"/>
          <w:shd w:val="clear" w:fill="FFFFFF"/>
          <w:lang w:val="en-US" w:eastAsia="zh-CN"/>
        </w:rPr>
        <w:t>完成</w:t>
      </w:r>
      <w:r>
        <w:rPr>
          <w:rFonts w:hint="default" w:ascii="仿宋_GB2312" w:hAnsi="仿宋_GB2312" w:eastAsia="仿宋_GB2312" w:cs="仿宋_GB2312"/>
          <w:b w:val="0"/>
          <w:i w:val="0"/>
          <w:caps w:val="0"/>
          <w:color w:val="auto"/>
          <w:spacing w:val="0"/>
          <w:kern w:val="0"/>
          <w:sz w:val="32"/>
          <w:szCs w:val="32"/>
          <w:shd w:val="clear" w:fill="FFFFFF"/>
          <w:lang w:val="en-US" w:eastAsia="zh-CN"/>
        </w:rPr>
        <w:t>行政审批事项</w:t>
      </w:r>
      <w:r>
        <w:rPr>
          <w:rFonts w:hint="eastAsia" w:ascii="仿宋_GB2312" w:hAnsi="仿宋_GB2312" w:eastAsia="仿宋_GB2312" w:cs="仿宋_GB2312"/>
          <w:b w:val="0"/>
          <w:i w:val="0"/>
          <w:caps w:val="0"/>
          <w:color w:val="auto"/>
          <w:spacing w:val="0"/>
          <w:kern w:val="0"/>
          <w:sz w:val="32"/>
          <w:szCs w:val="32"/>
          <w:shd w:val="clear" w:fill="FFFFFF"/>
          <w:lang w:val="en-US" w:eastAsia="zh-CN"/>
        </w:rPr>
        <w:t>，</w:t>
      </w:r>
      <w:r>
        <w:rPr>
          <w:rFonts w:hint="eastAsia" w:ascii="仿宋_GB2312" w:hAnsi="仿宋_GB2312" w:eastAsia="仿宋_GB2312" w:cs="仿宋_GB2312"/>
          <w:b w:val="0"/>
          <w:i w:val="0"/>
          <w:caps w:val="0"/>
          <w:color w:val="auto"/>
          <w:spacing w:val="0"/>
          <w:kern w:val="0"/>
          <w:sz w:val="32"/>
          <w:szCs w:val="32"/>
          <w:shd w:val="clear" w:fill="FFFFFF"/>
        </w:rPr>
        <w:t>持续推动简政放权、放管结合、优化服务改革</w:t>
      </w:r>
      <w:r>
        <w:rPr>
          <w:rFonts w:hint="eastAsia" w:ascii="仿宋_GB2312" w:hAnsi="仿宋_GB2312" w:eastAsia="仿宋_GB2312" w:cs="仿宋_GB2312"/>
          <w:b w:val="0"/>
          <w:i w:val="0"/>
          <w:caps w:val="0"/>
          <w:color w:val="auto"/>
          <w:spacing w:val="0"/>
          <w:kern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（四）政府信息主动公开数量及公开渠道：</w:t>
      </w:r>
      <w:r>
        <w:rPr>
          <w:rFonts w:hint="default" w:ascii="仿宋_GB2312" w:hAnsi="仿宋_GB2312" w:eastAsia="仿宋_GB2312" w:cs="仿宋_GB2312"/>
          <w:color w:val="auto"/>
          <w:sz w:val="32"/>
          <w:szCs w:val="32"/>
          <w:lang w:val="en-US" w:eastAsia="zh-CN"/>
        </w:rPr>
        <w:t>我局主要通过罗山县政府门户网站作为政府信息公开的主平台、主阵地，及时上报公开我局工作动态信息。201</w:t>
      </w:r>
      <w:r>
        <w:rPr>
          <w:rFonts w:hint="eastAsia"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lang w:val="en-US" w:eastAsia="zh-CN"/>
        </w:rPr>
        <w:t>年全年在</w:t>
      </w:r>
      <w:r>
        <w:rPr>
          <w:rFonts w:hint="eastAsia" w:ascii="仿宋_GB2312" w:hAnsi="仿宋_GB2312" w:eastAsia="仿宋_GB2312" w:cs="仿宋_GB2312"/>
          <w:color w:val="auto"/>
          <w:sz w:val="32"/>
          <w:szCs w:val="32"/>
          <w:lang w:val="en-US" w:eastAsia="zh-CN"/>
        </w:rPr>
        <w:t>县</w:t>
      </w:r>
      <w:r>
        <w:rPr>
          <w:rFonts w:hint="default" w:ascii="仿宋_GB2312" w:hAnsi="仿宋_GB2312" w:eastAsia="仿宋_GB2312" w:cs="仿宋_GB2312"/>
          <w:color w:val="auto"/>
          <w:sz w:val="32"/>
          <w:szCs w:val="32"/>
          <w:lang w:val="en-US" w:eastAsia="zh-CN"/>
        </w:rPr>
        <w:t>政府</w:t>
      </w:r>
      <w:r>
        <w:rPr>
          <w:rFonts w:hint="eastAsia" w:ascii="仿宋_GB2312" w:hAnsi="仿宋_GB2312" w:eastAsia="仿宋_GB2312" w:cs="仿宋_GB2312"/>
          <w:color w:val="auto"/>
          <w:sz w:val="32"/>
          <w:szCs w:val="32"/>
          <w:lang w:val="en-US" w:eastAsia="zh-CN"/>
        </w:rPr>
        <w:t>部门</w:t>
      </w:r>
      <w:r>
        <w:rPr>
          <w:rFonts w:hint="default" w:ascii="仿宋_GB2312" w:hAnsi="仿宋_GB2312" w:eastAsia="仿宋_GB2312" w:cs="仿宋_GB2312"/>
          <w:color w:val="auto"/>
          <w:sz w:val="32"/>
          <w:szCs w:val="32"/>
          <w:lang w:val="en-US" w:eastAsia="zh-CN"/>
        </w:rPr>
        <w:t>信息公开网共计主动公开政府信息</w:t>
      </w:r>
      <w:r>
        <w:rPr>
          <w:rFonts w:hint="eastAsia" w:ascii="仿宋_GB2312" w:hAnsi="仿宋_GB2312" w:eastAsia="仿宋_GB2312" w:cs="仿宋_GB2312"/>
          <w:color w:val="auto"/>
          <w:sz w:val="32"/>
          <w:szCs w:val="32"/>
          <w:lang w:val="en-US" w:eastAsia="zh-CN"/>
        </w:rPr>
        <w:t>127</w:t>
      </w:r>
      <w:r>
        <w:rPr>
          <w:rFonts w:hint="default" w:ascii="仿宋_GB2312" w:hAnsi="仿宋_GB2312" w:eastAsia="仿宋_GB2312" w:cs="仿宋_GB2312"/>
          <w:color w:val="auto"/>
          <w:sz w:val="32"/>
          <w:szCs w:val="32"/>
          <w:lang w:val="en-US" w:eastAsia="zh-CN"/>
        </w:rPr>
        <w:t>条，通过罗山县数字化城管中心平台微信公众号发布信息</w:t>
      </w:r>
      <w:r>
        <w:rPr>
          <w:rFonts w:hint="eastAsia" w:ascii="仿宋_GB2312" w:hAnsi="仿宋_GB2312" w:eastAsia="仿宋_GB2312" w:cs="仿宋_GB2312"/>
          <w:color w:val="auto"/>
          <w:sz w:val="32"/>
          <w:szCs w:val="32"/>
          <w:lang w:val="en-US" w:eastAsia="zh-CN"/>
        </w:rPr>
        <w:t>58</w:t>
      </w:r>
      <w:r>
        <w:rPr>
          <w:rFonts w:hint="default" w:ascii="仿宋_GB2312" w:hAnsi="仿宋_GB2312" w:eastAsia="仿宋_GB2312" w:cs="仿宋_GB2312"/>
          <w:color w:val="auto"/>
          <w:sz w:val="32"/>
          <w:szCs w:val="32"/>
          <w:lang w:val="en-US" w:eastAsia="zh-CN"/>
        </w:rPr>
        <w:t>条。</w:t>
      </w:r>
      <w:r>
        <w:rPr>
          <w:rFonts w:hint="eastAsia" w:ascii="仿宋_GB2312" w:hAnsi="仿宋_GB2312" w:eastAsia="仿宋_GB2312" w:cs="仿宋_GB2312"/>
          <w:b w:val="0"/>
          <w:i w:val="0"/>
          <w:caps w:val="0"/>
          <w:color w:val="auto"/>
          <w:spacing w:val="0"/>
          <w:kern w:val="0"/>
          <w:sz w:val="32"/>
          <w:szCs w:val="32"/>
          <w:shd w:val="clear" w:fill="FFFFFF"/>
          <w:lang w:val="en-US" w:eastAsia="zh-CN"/>
        </w:rPr>
        <w:t>主要公开信息内容涉及城管、环卫、市政、燃气、公厕等部门工作最新动态，自来水水质、污水和垃圾达标处理第三方监测月、季通报，数字化城管工作周简报，省、市、县重点民生工程实事进展情况，以及创文创卫、脱贫攻坚、环境污染攻坚、扫黑除恶、安全生产、“放管服”改革等政府重点工作任务进展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（五）依申请公开受理数量、内容、处理结果：</w:t>
      </w:r>
      <w:r>
        <w:rPr>
          <w:rFonts w:hint="default" w:ascii="仿宋_GB2312" w:hAnsi="仿宋_GB2312" w:eastAsia="仿宋_GB2312" w:cs="仿宋_GB2312"/>
          <w:color w:val="auto"/>
          <w:sz w:val="32"/>
          <w:szCs w:val="32"/>
          <w:lang w:val="en-US" w:eastAsia="zh-CN"/>
        </w:rPr>
        <w:t>201</w:t>
      </w:r>
      <w:r>
        <w:rPr>
          <w:rFonts w:hint="eastAsia"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lang w:val="en-US" w:eastAsia="zh-CN"/>
        </w:rPr>
        <w:t>全年，我</w:t>
      </w:r>
      <w:r>
        <w:rPr>
          <w:rFonts w:hint="default" w:ascii="仿宋_GB2312" w:hAnsi="仿宋_GB2312" w:eastAsia="仿宋_GB2312" w:cs="仿宋_GB2312"/>
          <w:color w:val="auto"/>
          <w:sz w:val="32"/>
          <w:szCs w:val="32"/>
          <w:lang w:val="en-US" w:eastAsia="zh-CN"/>
        </w:rPr>
        <w:t>局未收到政府信息公开申请。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（六）公开制度机制建设、回应社会关切、重大政策公开、政策解读等情况：</w:t>
      </w:r>
      <w:r>
        <w:rPr>
          <w:rFonts w:hint="eastAsia" w:ascii="仿宋_GB2312" w:hAnsi="仿宋_GB2312" w:eastAsia="仿宋_GB2312" w:cs="仿宋_GB2312"/>
          <w:b w:val="0"/>
          <w:i w:val="0"/>
          <w:caps w:val="0"/>
          <w:color w:val="auto"/>
          <w:spacing w:val="0"/>
          <w:kern w:val="0"/>
          <w:sz w:val="32"/>
          <w:szCs w:val="32"/>
          <w:shd w:val="clear" w:fill="FFFFFF"/>
        </w:rPr>
        <w:t>按照“主要领导亲自抓，分管领导具体抓，专门</w:t>
      </w:r>
      <w:r>
        <w:rPr>
          <w:rFonts w:hint="eastAsia" w:ascii="仿宋_GB2312" w:hAnsi="仿宋_GB2312" w:eastAsia="仿宋_GB2312" w:cs="仿宋_GB2312"/>
          <w:b w:val="0"/>
          <w:i w:val="0"/>
          <w:caps w:val="0"/>
          <w:color w:val="auto"/>
          <w:spacing w:val="0"/>
          <w:kern w:val="0"/>
          <w:sz w:val="32"/>
          <w:szCs w:val="32"/>
          <w:shd w:val="clear" w:fill="FFFFFF"/>
          <w:lang w:eastAsia="zh-CN"/>
        </w:rPr>
        <w:t>股</w:t>
      </w:r>
      <w:r>
        <w:rPr>
          <w:rFonts w:hint="eastAsia" w:ascii="仿宋_GB2312" w:hAnsi="仿宋_GB2312" w:eastAsia="仿宋_GB2312" w:cs="仿宋_GB2312"/>
          <w:b w:val="0"/>
          <w:i w:val="0"/>
          <w:caps w:val="0"/>
          <w:color w:val="auto"/>
          <w:spacing w:val="0"/>
          <w:kern w:val="0"/>
          <w:sz w:val="32"/>
          <w:szCs w:val="32"/>
          <w:shd w:val="clear" w:fill="FFFFFF"/>
        </w:rPr>
        <w:t>室抓落实”的工作要求，我</w:t>
      </w:r>
      <w:r>
        <w:rPr>
          <w:rFonts w:hint="eastAsia" w:ascii="仿宋_GB2312" w:hAnsi="仿宋_GB2312" w:eastAsia="仿宋_GB2312" w:cs="仿宋_GB2312"/>
          <w:b w:val="0"/>
          <w:i w:val="0"/>
          <w:caps w:val="0"/>
          <w:color w:val="auto"/>
          <w:spacing w:val="0"/>
          <w:kern w:val="0"/>
          <w:sz w:val="32"/>
          <w:szCs w:val="32"/>
          <w:shd w:val="clear" w:fill="FFFFFF"/>
          <w:lang w:eastAsia="zh-CN"/>
        </w:rPr>
        <w:t>局</w:t>
      </w:r>
      <w:r>
        <w:rPr>
          <w:rFonts w:hint="eastAsia" w:ascii="仿宋_GB2312" w:hAnsi="仿宋_GB2312" w:eastAsia="仿宋_GB2312" w:cs="仿宋_GB2312"/>
          <w:b w:val="0"/>
          <w:i w:val="0"/>
          <w:caps w:val="0"/>
          <w:color w:val="auto"/>
          <w:spacing w:val="0"/>
          <w:kern w:val="0"/>
          <w:sz w:val="32"/>
          <w:szCs w:val="32"/>
          <w:shd w:val="clear" w:fill="FFFFFF"/>
        </w:rPr>
        <w:t>把政府信息公开工作列入重要议事日程，及时传达贯彻</w:t>
      </w:r>
      <w:r>
        <w:rPr>
          <w:rFonts w:hint="eastAsia" w:ascii="仿宋_GB2312" w:hAnsi="仿宋_GB2312" w:eastAsia="仿宋_GB2312" w:cs="仿宋_GB2312"/>
          <w:b w:val="0"/>
          <w:i w:val="0"/>
          <w:caps w:val="0"/>
          <w:color w:val="auto"/>
          <w:spacing w:val="0"/>
          <w:kern w:val="0"/>
          <w:sz w:val="32"/>
          <w:szCs w:val="32"/>
          <w:shd w:val="clear" w:fill="FFFFFF"/>
          <w:lang w:eastAsia="zh-CN"/>
        </w:rPr>
        <w:t>我</w:t>
      </w:r>
      <w:r>
        <w:rPr>
          <w:rFonts w:hint="eastAsia" w:ascii="仿宋_GB2312" w:hAnsi="仿宋_GB2312" w:eastAsia="仿宋_GB2312" w:cs="仿宋_GB2312"/>
          <w:b w:val="0"/>
          <w:i w:val="0"/>
          <w:caps w:val="0"/>
          <w:color w:val="auto"/>
          <w:spacing w:val="0"/>
          <w:kern w:val="0"/>
          <w:sz w:val="32"/>
          <w:szCs w:val="32"/>
          <w:shd w:val="clear" w:fill="FFFFFF"/>
        </w:rPr>
        <w:t>县一系列关于做好政府信息公开工作的文件精神，研究部署</w:t>
      </w:r>
      <w:r>
        <w:rPr>
          <w:rFonts w:hint="eastAsia" w:ascii="仿宋_GB2312" w:hAnsi="仿宋_GB2312" w:eastAsia="仿宋_GB2312" w:cs="仿宋_GB2312"/>
          <w:b w:val="0"/>
          <w:i w:val="0"/>
          <w:caps w:val="0"/>
          <w:color w:val="auto"/>
          <w:spacing w:val="0"/>
          <w:kern w:val="0"/>
          <w:sz w:val="32"/>
          <w:szCs w:val="32"/>
          <w:shd w:val="clear" w:fill="FFFFFF"/>
          <w:lang w:eastAsia="zh-CN"/>
        </w:rPr>
        <w:t>全局</w:t>
      </w:r>
      <w:r>
        <w:rPr>
          <w:rFonts w:hint="eastAsia" w:ascii="仿宋_GB2312" w:hAnsi="仿宋_GB2312" w:eastAsia="仿宋_GB2312" w:cs="仿宋_GB2312"/>
          <w:b w:val="0"/>
          <w:i w:val="0"/>
          <w:caps w:val="0"/>
          <w:color w:val="auto"/>
          <w:spacing w:val="0"/>
          <w:kern w:val="0"/>
          <w:sz w:val="32"/>
          <w:szCs w:val="32"/>
          <w:shd w:val="clear" w:fill="FFFFFF"/>
        </w:rPr>
        <w:t>政府信息公开工作</w:t>
      </w:r>
      <w:r>
        <w:rPr>
          <w:rFonts w:hint="eastAsia" w:ascii="仿宋_GB2312" w:hAnsi="仿宋_GB2312" w:eastAsia="仿宋_GB2312" w:cs="仿宋_GB2312"/>
          <w:b w:val="0"/>
          <w:i w:val="0"/>
          <w:caps w:val="0"/>
          <w:color w:val="auto"/>
          <w:spacing w:val="0"/>
          <w:kern w:val="0"/>
          <w:sz w:val="32"/>
          <w:szCs w:val="32"/>
          <w:shd w:val="clear" w:fill="FFFFFF"/>
          <w:lang w:eastAsia="zh-CN"/>
        </w:rPr>
        <w:t>。</w:t>
      </w:r>
      <w:r>
        <w:rPr>
          <w:rFonts w:hint="eastAsia" w:ascii="仿宋_GB2312" w:hAnsi="仿宋_GB2312" w:eastAsia="仿宋_GB2312" w:cs="仿宋_GB2312"/>
          <w:b w:val="0"/>
          <w:i w:val="0"/>
          <w:caps w:val="0"/>
          <w:color w:val="auto"/>
          <w:spacing w:val="0"/>
          <w:kern w:val="0"/>
          <w:sz w:val="32"/>
          <w:szCs w:val="32"/>
          <w:shd w:val="clear" w:fill="FFFFFF"/>
        </w:rPr>
        <w:t>成立了以</w:t>
      </w:r>
      <w:r>
        <w:rPr>
          <w:rFonts w:hint="eastAsia" w:ascii="仿宋_GB2312" w:hAnsi="仿宋_GB2312" w:eastAsia="仿宋_GB2312" w:cs="仿宋_GB2312"/>
          <w:b w:val="0"/>
          <w:i w:val="0"/>
          <w:caps w:val="0"/>
          <w:color w:val="auto"/>
          <w:spacing w:val="0"/>
          <w:kern w:val="0"/>
          <w:sz w:val="32"/>
          <w:szCs w:val="32"/>
          <w:shd w:val="clear" w:fill="FFFFFF"/>
          <w:lang w:eastAsia="zh-CN"/>
        </w:rPr>
        <w:t>主要领导</w:t>
      </w:r>
      <w:r>
        <w:rPr>
          <w:rFonts w:hint="eastAsia" w:ascii="仿宋_GB2312" w:hAnsi="仿宋_GB2312" w:eastAsia="仿宋_GB2312" w:cs="仿宋_GB2312"/>
          <w:b w:val="0"/>
          <w:i w:val="0"/>
          <w:caps w:val="0"/>
          <w:color w:val="auto"/>
          <w:spacing w:val="0"/>
          <w:kern w:val="0"/>
          <w:sz w:val="32"/>
          <w:szCs w:val="32"/>
          <w:shd w:val="clear" w:fill="FFFFFF"/>
        </w:rPr>
        <w:t>为组长、</w:t>
      </w:r>
      <w:r>
        <w:rPr>
          <w:rFonts w:hint="eastAsia" w:ascii="仿宋_GB2312" w:hAnsi="仿宋_GB2312" w:eastAsia="仿宋_GB2312" w:cs="仿宋_GB2312"/>
          <w:b w:val="0"/>
          <w:i w:val="0"/>
          <w:caps w:val="0"/>
          <w:color w:val="auto"/>
          <w:spacing w:val="0"/>
          <w:kern w:val="0"/>
          <w:sz w:val="32"/>
          <w:szCs w:val="32"/>
          <w:shd w:val="clear" w:fill="FFFFFF"/>
          <w:lang w:eastAsia="zh-CN"/>
        </w:rPr>
        <w:t>分管领导</w:t>
      </w:r>
      <w:r>
        <w:rPr>
          <w:rFonts w:hint="eastAsia" w:ascii="仿宋_GB2312" w:hAnsi="仿宋_GB2312" w:eastAsia="仿宋_GB2312" w:cs="仿宋_GB2312"/>
          <w:b w:val="0"/>
          <w:i w:val="0"/>
          <w:caps w:val="0"/>
          <w:color w:val="auto"/>
          <w:spacing w:val="0"/>
          <w:kern w:val="0"/>
          <w:sz w:val="32"/>
          <w:szCs w:val="32"/>
          <w:shd w:val="clear" w:fill="FFFFFF"/>
        </w:rPr>
        <w:t>为副组长的政府信息公开工作领导小组，建立了主要领导负总责，分管领导主抓，办公室具体负责，各</w:t>
      </w:r>
      <w:r>
        <w:rPr>
          <w:rFonts w:hint="eastAsia" w:ascii="仿宋_GB2312" w:hAnsi="仿宋_GB2312" w:eastAsia="仿宋_GB2312" w:cs="仿宋_GB2312"/>
          <w:b w:val="0"/>
          <w:i w:val="0"/>
          <w:caps w:val="0"/>
          <w:color w:val="auto"/>
          <w:spacing w:val="0"/>
          <w:kern w:val="0"/>
          <w:sz w:val="32"/>
          <w:szCs w:val="32"/>
          <w:shd w:val="clear" w:fill="FFFFFF"/>
          <w:lang w:eastAsia="zh-CN"/>
        </w:rPr>
        <w:t>股</w:t>
      </w:r>
      <w:r>
        <w:rPr>
          <w:rFonts w:hint="eastAsia" w:ascii="仿宋_GB2312" w:hAnsi="仿宋_GB2312" w:eastAsia="仿宋_GB2312" w:cs="仿宋_GB2312"/>
          <w:b w:val="0"/>
          <w:i w:val="0"/>
          <w:caps w:val="0"/>
          <w:color w:val="auto"/>
          <w:spacing w:val="0"/>
          <w:kern w:val="0"/>
          <w:sz w:val="32"/>
          <w:szCs w:val="32"/>
          <w:shd w:val="clear" w:fill="FFFFFF"/>
        </w:rPr>
        <w:t>室</w:t>
      </w:r>
      <w:r>
        <w:rPr>
          <w:rFonts w:hint="eastAsia" w:ascii="仿宋_GB2312" w:hAnsi="仿宋_GB2312" w:eastAsia="仿宋_GB2312" w:cs="仿宋_GB2312"/>
          <w:b w:val="0"/>
          <w:i w:val="0"/>
          <w:caps w:val="0"/>
          <w:color w:val="auto"/>
          <w:spacing w:val="0"/>
          <w:kern w:val="0"/>
          <w:sz w:val="32"/>
          <w:szCs w:val="32"/>
          <w:shd w:val="clear" w:fill="FFFFFF"/>
          <w:lang w:eastAsia="zh-CN"/>
        </w:rPr>
        <w:t>、部门</w:t>
      </w:r>
      <w:r>
        <w:rPr>
          <w:rFonts w:hint="eastAsia" w:ascii="仿宋_GB2312" w:hAnsi="仿宋_GB2312" w:eastAsia="仿宋_GB2312" w:cs="仿宋_GB2312"/>
          <w:b w:val="0"/>
          <w:i w:val="0"/>
          <w:caps w:val="0"/>
          <w:color w:val="auto"/>
          <w:spacing w:val="0"/>
          <w:kern w:val="0"/>
          <w:sz w:val="32"/>
          <w:szCs w:val="32"/>
          <w:shd w:val="clear" w:fill="FFFFFF"/>
        </w:rPr>
        <w:t>密切配合的工作机制</w:t>
      </w:r>
      <w:r>
        <w:rPr>
          <w:rFonts w:hint="eastAsia" w:ascii="仿宋_GB2312" w:hAnsi="仿宋_GB2312" w:eastAsia="仿宋_GB2312" w:cs="仿宋_GB2312"/>
          <w:b w:val="0"/>
          <w:i w:val="0"/>
          <w:caps w:val="0"/>
          <w:color w:val="auto"/>
          <w:spacing w:val="0"/>
          <w:kern w:val="0"/>
          <w:sz w:val="32"/>
          <w:szCs w:val="32"/>
          <w:shd w:val="clear" w:fill="FFFFFF"/>
          <w:lang w:eastAsia="zh-CN"/>
        </w:rPr>
        <w:t>，</w:t>
      </w:r>
      <w:r>
        <w:rPr>
          <w:rFonts w:hint="eastAsia" w:ascii="仿宋_GB2312" w:hAnsi="仿宋_GB2312" w:eastAsia="仿宋_GB2312" w:cs="仿宋_GB2312"/>
          <w:b w:val="0"/>
          <w:i w:val="0"/>
          <w:caps w:val="0"/>
          <w:color w:val="auto"/>
          <w:spacing w:val="0"/>
          <w:kern w:val="0"/>
          <w:sz w:val="32"/>
          <w:szCs w:val="32"/>
          <w:shd w:val="clear" w:fill="FFFFFF"/>
        </w:rPr>
        <w:t>将政府信息公开工作纳入</w:t>
      </w:r>
      <w:r>
        <w:rPr>
          <w:rFonts w:hint="eastAsia" w:ascii="仿宋_GB2312" w:hAnsi="仿宋_GB2312" w:eastAsia="仿宋_GB2312" w:cs="仿宋_GB2312"/>
          <w:b w:val="0"/>
          <w:i w:val="0"/>
          <w:caps w:val="0"/>
          <w:color w:val="auto"/>
          <w:spacing w:val="0"/>
          <w:kern w:val="0"/>
          <w:sz w:val="32"/>
          <w:szCs w:val="32"/>
          <w:shd w:val="clear" w:fill="FFFFFF"/>
          <w:lang w:eastAsia="zh-CN"/>
        </w:rPr>
        <w:t>各</w:t>
      </w:r>
      <w:r>
        <w:rPr>
          <w:rFonts w:hint="eastAsia" w:ascii="仿宋_GB2312" w:hAnsi="仿宋_GB2312" w:eastAsia="仿宋_GB2312" w:cs="仿宋_GB2312"/>
          <w:b w:val="0"/>
          <w:i w:val="0"/>
          <w:caps w:val="0"/>
          <w:color w:val="auto"/>
          <w:spacing w:val="0"/>
          <w:kern w:val="0"/>
          <w:sz w:val="32"/>
          <w:szCs w:val="32"/>
          <w:shd w:val="clear" w:fill="FFFFFF"/>
        </w:rPr>
        <w:t>部门绩效考核体系，切实推动政府信息公开工作深入开展。</w:t>
      </w:r>
      <w:r>
        <w:rPr>
          <w:rFonts w:hint="default" w:ascii="仿宋_GB2312" w:hAnsi="仿宋_GB2312" w:eastAsia="仿宋_GB2312" w:cs="仿宋_GB2312"/>
          <w:color w:val="auto"/>
          <w:sz w:val="32"/>
          <w:szCs w:val="32"/>
          <w:lang w:val="en-US" w:eastAsia="zh-CN"/>
        </w:rPr>
        <w:t>面对公众关注热点</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重大舆情和重大政策公开、政策解读问题，我局积极迅速做出客观公正解答应对，将事实真相告知社会公众，全年没有发生因政府信息应公开而未公开或不应公开、公开不及时等情况造成的事故或群众投诉。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0"/>
        <w:jc w:val="both"/>
        <w:textAlignment w:val="auto"/>
        <w:rPr>
          <w:rFonts w:hint="default"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（七）开展《条例》宣传培训工作情况：</w:t>
      </w:r>
      <w:r>
        <w:rPr>
          <w:rFonts w:hint="default" w:ascii="仿宋_GB2312" w:hAnsi="仿宋_GB2312" w:eastAsia="仿宋_GB2312" w:cs="仿宋_GB2312"/>
          <w:color w:val="auto"/>
          <w:sz w:val="32"/>
          <w:szCs w:val="32"/>
          <w:lang w:val="en-US" w:eastAsia="zh-CN"/>
        </w:rPr>
        <w:t>为扩大政府信息公开工作的影响，使社会公众进一步关注和参与政府信息公开工作，充分利用互联网等方式广泛宣传</w:t>
      </w:r>
      <w:r>
        <w:rPr>
          <w:rFonts w:hint="eastAsia" w:ascii="仿宋_GB2312" w:hAnsi="仿宋_GB2312" w:eastAsia="仿宋_GB2312" w:cs="仿宋_GB2312"/>
          <w:color w:val="auto"/>
          <w:sz w:val="32"/>
          <w:szCs w:val="32"/>
          <w:lang w:val="en-US" w:eastAsia="zh-CN"/>
        </w:rPr>
        <w:t>《条例》</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2019年</w:t>
      </w:r>
      <w:r>
        <w:rPr>
          <w:rFonts w:hint="default" w:ascii="仿宋_GB2312" w:hAnsi="仿宋_GB2312" w:eastAsia="仿宋_GB2312" w:cs="仿宋_GB2312"/>
          <w:color w:val="auto"/>
          <w:sz w:val="32"/>
          <w:szCs w:val="32"/>
          <w:lang w:val="en-US" w:eastAsia="zh-CN"/>
        </w:rPr>
        <w:t>先后多次有针对性地组织</w:t>
      </w:r>
      <w:r>
        <w:rPr>
          <w:rFonts w:hint="eastAsia" w:ascii="仿宋_GB2312" w:hAnsi="仿宋_GB2312" w:eastAsia="仿宋_GB2312" w:cs="仿宋_GB2312"/>
          <w:color w:val="auto"/>
          <w:sz w:val="32"/>
          <w:szCs w:val="32"/>
          <w:lang w:val="en-US" w:eastAsia="zh-CN"/>
        </w:rPr>
        <w:t>各二级单位信息骨干</w:t>
      </w:r>
      <w:r>
        <w:rPr>
          <w:rFonts w:hint="default"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lang w:val="en-US" w:eastAsia="zh-CN"/>
        </w:rPr>
        <w:t>《条例》宣传</w:t>
      </w:r>
      <w:r>
        <w:rPr>
          <w:rFonts w:hint="default" w:ascii="仿宋_GB2312" w:hAnsi="仿宋_GB2312" w:eastAsia="仿宋_GB2312" w:cs="仿宋_GB2312"/>
          <w:color w:val="auto"/>
          <w:sz w:val="32"/>
          <w:szCs w:val="32"/>
          <w:lang w:val="en-US" w:eastAsia="zh-CN"/>
        </w:rPr>
        <w:t>培训</w:t>
      </w:r>
      <w:r>
        <w:rPr>
          <w:rFonts w:hint="eastAsia" w:ascii="仿宋_GB2312" w:hAnsi="仿宋_GB2312" w:eastAsia="仿宋_GB2312" w:cs="仿宋_GB2312"/>
          <w:color w:val="auto"/>
          <w:sz w:val="32"/>
          <w:szCs w:val="32"/>
          <w:lang w:val="en-US" w:eastAsia="zh-CN"/>
        </w:rPr>
        <w:t>座谈会</w:t>
      </w:r>
      <w:r>
        <w:rPr>
          <w:rFonts w:hint="default" w:ascii="仿宋_GB2312" w:hAnsi="仿宋_GB2312" w:eastAsia="仿宋_GB2312" w:cs="仿宋_GB2312"/>
          <w:color w:val="auto"/>
          <w:sz w:val="32"/>
          <w:szCs w:val="32"/>
          <w:lang w:val="en-US" w:eastAsia="zh-CN"/>
        </w:rPr>
        <w:t>，多角度介绍我</w:t>
      </w:r>
      <w:r>
        <w:rPr>
          <w:rFonts w:hint="eastAsia" w:ascii="仿宋_GB2312" w:hAnsi="仿宋_GB2312" w:eastAsia="仿宋_GB2312" w:cs="仿宋_GB2312"/>
          <w:color w:val="auto"/>
          <w:sz w:val="32"/>
          <w:szCs w:val="32"/>
          <w:lang w:val="en-US" w:eastAsia="zh-CN"/>
        </w:rPr>
        <w:t>县城市</w:t>
      </w:r>
      <w:r>
        <w:rPr>
          <w:rFonts w:hint="default"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lang w:val="en-US" w:eastAsia="zh-CN"/>
        </w:rPr>
        <w:t>现状</w:t>
      </w:r>
      <w:r>
        <w:rPr>
          <w:rFonts w:hint="default" w:ascii="仿宋_GB2312" w:hAnsi="仿宋_GB2312" w:eastAsia="仿宋_GB2312" w:cs="仿宋_GB2312"/>
          <w:color w:val="auto"/>
          <w:sz w:val="32"/>
          <w:szCs w:val="32"/>
          <w:lang w:val="en-US" w:eastAsia="zh-CN"/>
        </w:rPr>
        <w:t>，详细阐述</w:t>
      </w:r>
      <w:r>
        <w:rPr>
          <w:rFonts w:hint="eastAsia" w:ascii="仿宋_GB2312" w:hAnsi="仿宋_GB2312" w:eastAsia="仿宋_GB2312" w:cs="仿宋_GB2312"/>
          <w:color w:val="auto"/>
          <w:sz w:val="32"/>
          <w:szCs w:val="32"/>
          <w:lang w:val="en-US" w:eastAsia="zh-CN"/>
        </w:rPr>
        <w:t>城市</w:t>
      </w:r>
      <w:r>
        <w:rPr>
          <w:rFonts w:hint="default"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lang w:val="en-US" w:eastAsia="zh-CN"/>
        </w:rPr>
        <w:t>方面“互联网+政务服务”公开</w:t>
      </w:r>
      <w:r>
        <w:rPr>
          <w:rFonts w:hint="default" w:ascii="仿宋_GB2312" w:hAnsi="仿宋_GB2312" w:eastAsia="仿宋_GB2312" w:cs="仿宋_GB2312"/>
          <w:color w:val="auto"/>
          <w:sz w:val="32"/>
          <w:szCs w:val="32"/>
          <w:lang w:val="en-US" w:eastAsia="zh-CN"/>
        </w:rPr>
        <w:t>的重要事项，使政务公开工作打开</w:t>
      </w:r>
      <w:r>
        <w:rPr>
          <w:rFonts w:hint="eastAsia" w:ascii="仿宋_GB2312" w:hAnsi="仿宋_GB2312" w:eastAsia="仿宋_GB2312" w:cs="仿宋_GB2312"/>
          <w:color w:val="auto"/>
          <w:sz w:val="32"/>
          <w:szCs w:val="32"/>
          <w:lang w:val="en-US" w:eastAsia="zh-CN"/>
        </w:rPr>
        <w:t>全新局面</w:t>
      </w:r>
      <w:r>
        <w:rPr>
          <w:rFonts w:hint="default" w:ascii="仿宋_GB2312" w:hAnsi="仿宋_GB2312" w:eastAsia="仿宋_GB2312" w:cs="仿宋_GB2312"/>
          <w:color w:val="auto"/>
          <w:sz w:val="32"/>
          <w:szCs w:val="32"/>
          <w:lang w:val="en-US" w:eastAsia="zh-CN"/>
        </w:rPr>
        <w:t>。同时，充分利用</w:t>
      </w:r>
      <w:r>
        <w:rPr>
          <w:rFonts w:hint="eastAsia" w:ascii="仿宋_GB2312" w:hAnsi="仿宋_GB2312" w:eastAsia="仿宋_GB2312" w:cs="仿宋_GB2312"/>
          <w:color w:val="auto"/>
          <w:sz w:val="32"/>
          <w:szCs w:val="32"/>
          <w:lang w:val="en-US" w:eastAsia="zh-CN"/>
        </w:rPr>
        <w:t>“罗山印象”等微信公众平台</w:t>
      </w:r>
      <w:r>
        <w:rPr>
          <w:rFonts w:hint="default" w:ascii="仿宋_GB2312" w:hAnsi="仿宋_GB2312" w:eastAsia="仿宋_GB2312" w:cs="仿宋_GB2312"/>
          <w:color w:val="auto"/>
          <w:sz w:val="32"/>
          <w:szCs w:val="32"/>
          <w:lang w:val="en-US" w:eastAsia="zh-CN"/>
        </w:rPr>
        <w:t>，向全社会介绍了</w:t>
      </w:r>
      <w:r>
        <w:rPr>
          <w:rFonts w:hint="eastAsia" w:ascii="仿宋_GB2312" w:hAnsi="仿宋_GB2312" w:eastAsia="仿宋_GB2312" w:cs="仿宋_GB2312"/>
          <w:color w:val="auto"/>
          <w:sz w:val="32"/>
          <w:szCs w:val="32"/>
          <w:lang w:val="en-US" w:eastAsia="zh-CN"/>
        </w:rPr>
        <w:t>城市管理</w:t>
      </w:r>
      <w:r>
        <w:rPr>
          <w:rFonts w:hint="default" w:ascii="仿宋_GB2312" w:hAnsi="仿宋_GB2312" w:eastAsia="仿宋_GB2312" w:cs="仿宋_GB2312"/>
          <w:color w:val="auto"/>
          <w:sz w:val="32"/>
          <w:szCs w:val="32"/>
          <w:lang w:val="en-US" w:eastAsia="zh-CN"/>
        </w:rPr>
        <w:t>主要职责和</w:t>
      </w:r>
      <w:r>
        <w:rPr>
          <w:rFonts w:hint="eastAsia" w:ascii="仿宋_GB2312" w:hAnsi="仿宋_GB2312" w:eastAsia="仿宋_GB2312" w:cs="仿宋_GB2312"/>
          <w:color w:val="auto"/>
          <w:sz w:val="32"/>
          <w:szCs w:val="32"/>
          <w:lang w:val="en-US" w:eastAsia="zh-CN"/>
        </w:rPr>
        <w:t>平时</w:t>
      </w:r>
      <w:r>
        <w:rPr>
          <w:rFonts w:hint="default" w:ascii="仿宋_GB2312" w:hAnsi="仿宋_GB2312" w:eastAsia="仿宋_GB2312" w:cs="仿宋_GB2312"/>
          <w:color w:val="auto"/>
          <w:sz w:val="32"/>
          <w:szCs w:val="32"/>
          <w:lang w:val="en-US" w:eastAsia="zh-CN"/>
        </w:rPr>
        <w:t>开展的重点工作，</w:t>
      </w:r>
      <w:r>
        <w:rPr>
          <w:rFonts w:hint="eastAsia" w:ascii="仿宋_GB2312" w:hAnsi="仿宋_GB2312" w:eastAsia="仿宋_GB2312" w:cs="仿宋_GB2312"/>
          <w:color w:val="auto"/>
          <w:sz w:val="32"/>
          <w:szCs w:val="32"/>
          <w:lang w:val="en-US" w:eastAsia="zh-CN"/>
        </w:rPr>
        <w:t>充分</w:t>
      </w:r>
      <w:r>
        <w:rPr>
          <w:rFonts w:hint="default" w:ascii="仿宋_GB2312" w:hAnsi="仿宋_GB2312" w:eastAsia="仿宋_GB2312" w:cs="仿宋_GB2312"/>
          <w:color w:val="auto"/>
          <w:sz w:val="32"/>
          <w:szCs w:val="32"/>
          <w:lang w:val="en-US" w:eastAsia="zh-CN"/>
        </w:rPr>
        <w:t>展示了</w:t>
      </w:r>
      <w:r>
        <w:rPr>
          <w:rFonts w:hint="eastAsia" w:ascii="仿宋_GB2312" w:hAnsi="仿宋_GB2312" w:eastAsia="仿宋_GB2312" w:cs="仿宋_GB2312"/>
          <w:color w:val="auto"/>
          <w:sz w:val="32"/>
          <w:szCs w:val="32"/>
          <w:lang w:val="en-US" w:eastAsia="zh-CN"/>
        </w:rPr>
        <w:t>我县城市管理</w:t>
      </w:r>
      <w:r>
        <w:rPr>
          <w:rFonts w:hint="default" w:ascii="仿宋_GB2312" w:hAnsi="仿宋_GB2312" w:eastAsia="仿宋_GB2312" w:cs="仿宋_GB2312"/>
          <w:color w:val="auto"/>
          <w:sz w:val="32"/>
          <w:szCs w:val="32"/>
          <w:lang w:val="en-US" w:eastAsia="zh-CN"/>
        </w:rPr>
        <w:t>行政主管部门的良好形象，取得了良好的社会效果。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黑体" w:hAnsi="黑体" w:eastAsia="黑体"/>
          <w:color w:val="auto"/>
          <w:sz w:val="32"/>
          <w:szCs w:val="32"/>
        </w:rPr>
      </w:pPr>
      <w:r>
        <w:rPr>
          <w:rFonts w:ascii="黑体" w:hAnsi="黑体" w:eastAsia="黑体"/>
          <w:color w:val="auto"/>
          <w:sz w:val="32"/>
          <w:szCs w:val="32"/>
        </w:rPr>
        <w:t>二、主动公开政府信息情况</w:t>
      </w:r>
    </w:p>
    <w:tbl>
      <w:tblPr>
        <w:tblStyle w:val="7"/>
        <w:tblW w:w="9460" w:type="dxa"/>
        <w:jc w:val="center"/>
        <w:tblLayout w:type="fixed"/>
        <w:tblCellMar>
          <w:top w:w="15" w:type="dxa"/>
          <w:left w:w="15" w:type="dxa"/>
          <w:bottom w:w="15" w:type="dxa"/>
          <w:right w:w="15" w:type="dxa"/>
        </w:tblCellMar>
      </w:tblPr>
      <w:tblGrid>
        <w:gridCol w:w="3355"/>
        <w:gridCol w:w="2471"/>
        <w:gridCol w:w="1524"/>
        <w:gridCol w:w="2110"/>
      </w:tblGrid>
      <w:tr>
        <w:tblPrEx>
          <w:tblCellMar>
            <w:top w:w="15" w:type="dxa"/>
            <w:left w:w="15" w:type="dxa"/>
            <w:bottom w:w="15" w:type="dxa"/>
            <w:right w:w="15" w:type="dxa"/>
          </w:tblCellMar>
        </w:tblPrEx>
        <w:trPr>
          <w:trHeight w:val="90" w:hRule="atLeast"/>
          <w:jc w:val="center"/>
        </w:trPr>
        <w:tc>
          <w:tcPr>
            <w:tcW w:w="9460"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第二十条第（一）项</w:t>
            </w:r>
          </w:p>
        </w:tc>
      </w:tr>
      <w:tr>
        <w:tblPrEx>
          <w:tblCellMar>
            <w:top w:w="15" w:type="dxa"/>
            <w:left w:w="15" w:type="dxa"/>
            <w:bottom w:w="15" w:type="dxa"/>
            <w:right w:w="15" w:type="dxa"/>
          </w:tblCellMar>
        </w:tblPrEx>
        <w:trPr>
          <w:trHeight w:val="90" w:hRule="atLeast"/>
          <w:jc w:val="center"/>
        </w:trPr>
        <w:tc>
          <w:tcPr>
            <w:tcW w:w="3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信息内容</w:t>
            </w:r>
          </w:p>
        </w:tc>
        <w:tc>
          <w:tcPr>
            <w:tcW w:w="247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本年新</w:t>
            </w:r>
            <w:r>
              <w:rPr>
                <w:rFonts w:hint="eastAsia" w:ascii="方正仿宋_GBK" w:hAnsi="方正仿宋_GBK" w:cs="方正仿宋_GBK"/>
                <w:color w:val="auto"/>
                <w:kern w:val="0"/>
                <w:sz w:val="24"/>
                <w:lang w:bidi="ar"/>
              </w:rPr>
              <w:br w:type="textWrapping"/>
            </w:r>
            <w:r>
              <w:rPr>
                <w:rFonts w:ascii="方正仿宋_GBK" w:hAnsi="方正仿宋_GBK" w:cs="方正仿宋_GBK"/>
                <w:color w:val="auto"/>
                <w:kern w:val="0"/>
                <w:sz w:val="24"/>
                <w:lang w:bidi="ar"/>
              </w:rPr>
              <w:t>制作数量</w:t>
            </w:r>
          </w:p>
        </w:tc>
        <w:tc>
          <w:tcPr>
            <w:tcW w:w="1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本年新</w:t>
            </w:r>
            <w:r>
              <w:rPr>
                <w:rFonts w:hint="eastAsia" w:ascii="方正仿宋_GBK" w:hAnsi="方正仿宋_GBK" w:cs="方正仿宋_GBK"/>
                <w:color w:val="auto"/>
                <w:kern w:val="0"/>
                <w:sz w:val="24"/>
                <w:lang w:bidi="ar"/>
              </w:rPr>
              <w:br w:type="textWrapping"/>
            </w:r>
            <w:r>
              <w:rPr>
                <w:rFonts w:ascii="方正仿宋_GBK" w:hAnsi="方正仿宋_GBK" w:cs="方正仿宋_GBK"/>
                <w:color w:val="auto"/>
                <w:kern w:val="0"/>
                <w:sz w:val="24"/>
                <w:lang w:bidi="ar"/>
              </w:rPr>
              <w:t>公开数量</w:t>
            </w:r>
          </w:p>
        </w:tc>
        <w:tc>
          <w:tcPr>
            <w:tcW w:w="211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对外公开总数量</w:t>
            </w:r>
          </w:p>
        </w:tc>
      </w:tr>
      <w:tr>
        <w:tblPrEx>
          <w:tblCellMar>
            <w:top w:w="15" w:type="dxa"/>
            <w:left w:w="15" w:type="dxa"/>
            <w:bottom w:w="15" w:type="dxa"/>
            <w:right w:w="15" w:type="dxa"/>
          </w:tblCellMar>
        </w:tblPrEx>
        <w:trPr>
          <w:trHeight w:val="90" w:hRule="atLeast"/>
          <w:jc w:val="center"/>
        </w:trPr>
        <w:tc>
          <w:tcPr>
            <w:tcW w:w="3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rFonts w:ascii="方正仿宋_GBK" w:hAnsi="方正仿宋_GBK" w:cs="方正仿宋_GBK"/>
                <w:color w:val="auto"/>
                <w:sz w:val="24"/>
              </w:rPr>
            </w:pPr>
            <w:bookmarkStart w:id="0" w:name="_GoBack" w:colFirst="2" w:colLast="2"/>
            <w:r>
              <w:rPr>
                <w:rFonts w:hint="eastAsia" w:ascii="方正仿宋_GBK" w:hAnsi="方正仿宋_GBK" w:cs="方正仿宋_GBK"/>
                <w:color w:val="auto"/>
                <w:kern w:val="0"/>
                <w:sz w:val="24"/>
                <w:lang w:bidi="ar"/>
              </w:rPr>
              <w:t>规章</w:t>
            </w:r>
          </w:p>
        </w:tc>
        <w:tc>
          <w:tcPr>
            <w:tcW w:w="24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c>
          <w:tcPr>
            <w:tcW w:w="152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cs="方正仿宋_GBK"/>
                <w:color w:val="auto"/>
                <w:kern w:val="0"/>
                <w:sz w:val="24"/>
                <w:lang w:val="en-US" w:eastAsia="zh-CN" w:bidi="ar"/>
              </w:rPr>
            </w:pPr>
            <w:r>
              <w:rPr>
                <w:rFonts w:hint="eastAsia" w:ascii="方正仿宋_GBK" w:hAnsi="方正仿宋_GBK" w:cs="方正仿宋_GBK"/>
                <w:color w:val="auto"/>
                <w:kern w:val="0"/>
                <w:sz w:val="24"/>
                <w:lang w:val="en-US" w:eastAsia="zh-CN" w:bidi="ar"/>
              </w:rPr>
              <w:t>0</w:t>
            </w:r>
          </w:p>
        </w:tc>
        <w:tc>
          <w:tcPr>
            <w:tcW w:w="211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r>
      <w:tr>
        <w:tblPrEx>
          <w:tblCellMar>
            <w:top w:w="15" w:type="dxa"/>
            <w:left w:w="15" w:type="dxa"/>
            <w:bottom w:w="15" w:type="dxa"/>
            <w:right w:w="15" w:type="dxa"/>
          </w:tblCellMar>
        </w:tblPrEx>
        <w:trPr>
          <w:trHeight w:val="90" w:hRule="atLeast"/>
          <w:jc w:val="center"/>
        </w:trPr>
        <w:tc>
          <w:tcPr>
            <w:tcW w:w="3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规范性文件</w:t>
            </w:r>
          </w:p>
        </w:tc>
        <w:tc>
          <w:tcPr>
            <w:tcW w:w="24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c>
          <w:tcPr>
            <w:tcW w:w="152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cs="方正仿宋_GBK"/>
                <w:color w:val="auto"/>
                <w:kern w:val="0"/>
                <w:sz w:val="24"/>
                <w:lang w:val="en-US" w:eastAsia="zh-CN" w:bidi="ar"/>
              </w:rPr>
            </w:pPr>
            <w:r>
              <w:rPr>
                <w:rFonts w:hint="eastAsia" w:ascii="方正仿宋_GBK" w:hAnsi="方正仿宋_GBK" w:cs="方正仿宋_GBK"/>
                <w:color w:val="auto"/>
                <w:kern w:val="0"/>
                <w:sz w:val="24"/>
                <w:lang w:val="en-US" w:eastAsia="zh-CN" w:bidi="ar"/>
              </w:rPr>
              <w:t>0</w:t>
            </w:r>
          </w:p>
        </w:tc>
        <w:tc>
          <w:tcPr>
            <w:tcW w:w="211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r>
      <w:bookmarkEnd w:id="0"/>
      <w:tr>
        <w:tblPrEx>
          <w:tblCellMar>
            <w:top w:w="15" w:type="dxa"/>
            <w:left w:w="15" w:type="dxa"/>
            <w:bottom w:w="15" w:type="dxa"/>
            <w:right w:w="15" w:type="dxa"/>
          </w:tblCellMar>
        </w:tblPrEx>
        <w:trPr>
          <w:trHeight w:val="90" w:hRule="atLeast"/>
          <w:jc w:val="center"/>
        </w:trPr>
        <w:tc>
          <w:tcPr>
            <w:tcW w:w="946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第二十条第（五）项</w:t>
            </w:r>
          </w:p>
        </w:tc>
      </w:tr>
      <w:tr>
        <w:tblPrEx>
          <w:tblCellMar>
            <w:top w:w="15" w:type="dxa"/>
            <w:left w:w="15" w:type="dxa"/>
            <w:bottom w:w="15" w:type="dxa"/>
            <w:right w:w="15" w:type="dxa"/>
          </w:tblCellMar>
        </w:tblPrEx>
        <w:trPr>
          <w:trHeight w:val="90" w:hRule="atLeast"/>
          <w:jc w:val="center"/>
        </w:trPr>
        <w:tc>
          <w:tcPr>
            <w:tcW w:w="3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信息内容</w:t>
            </w:r>
          </w:p>
        </w:tc>
        <w:tc>
          <w:tcPr>
            <w:tcW w:w="247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上一年项目数量</w:t>
            </w:r>
          </w:p>
        </w:tc>
        <w:tc>
          <w:tcPr>
            <w:tcW w:w="1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本年增/减</w:t>
            </w:r>
          </w:p>
        </w:tc>
        <w:tc>
          <w:tcPr>
            <w:tcW w:w="211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处理决定数量</w:t>
            </w:r>
          </w:p>
        </w:tc>
      </w:tr>
      <w:tr>
        <w:tblPrEx>
          <w:tblCellMar>
            <w:top w:w="15" w:type="dxa"/>
            <w:left w:w="15" w:type="dxa"/>
            <w:bottom w:w="15" w:type="dxa"/>
            <w:right w:w="15" w:type="dxa"/>
          </w:tblCellMar>
        </w:tblPrEx>
        <w:trPr>
          <w:trHeight w:val="90" w:hRule="atLeast"/>
          <w:jc w:val="center"/>
        </w:trPr>
        <w:tc>
          <w:tcPr>
            <w:tcW w:w="3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行政许可</w:t>
            </w:r>
          </w:p>
        </w:tc>
        <w:tc>
          <w:tcPr>
            <w:tcW w:w="24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c>
          <w:tcPr>
            <w:tcW w:w="152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c>
          <w:tcPr>
            <w:tcW w:w="211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r>
      <w:tr>
        <w:tblPrEx>
          <w:tblCellMar>
            <w:top w:w="15" w:type="dxa"/>
            <w:left w:w="15" w:type="dxa"/>
            <w:bottom w:w="15" w:type="dxa"/>
            <w:right w:w="15" w:type="dxa"/>
          </w:tblCellMar>
        </w:tblPrEx>
        <w:trPr>
          <w:trHeight w:val="90" w:hRule="atLeast"/>
          <w:jc w:val="center"/>
        </w:trPr>
        <w:tc>
          <w:tcPr>
            <w:tcW w:w="3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其他对外管理服务事项</w:t>
            </w:r>
          </w:p>
        </w:tc>
        <w:tc>
          <w:tcPr>
            <w:tcW w:w="24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c>
          <w:tcPr>
            <w:tcW w:w="152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c>
          <w:tcPr>
            <w:tcW w:w="211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r>
      <w:tr>
        <w:tblPrEx>
          <w:tblCellMar>
            <w:top w:w="15" w:type="dxa"/>
            <w:left w:w="15" w:type="dxa"/>
            <w:bottom w:w="15" w:type="dxa"/>
            <w:right w:w="15" w:type="dxa"/>
          </w:tblCellMar>
        </w:tblPrEx>
        <w:trPr>
          <w:trHeight w:val="90" w:hRule="atLeast"/>
          <w:jc w:val="center"/>
        </w:trPr>
        <w:tc>
          <w:tcPr>
            <w:tcW w:w="946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第二十条第（六）项</w:t>
            </w:r>
          </w:p>
        </w:tc>
      </w:tr>
      <w:tr>
        <w:tblPrEx>
          <w:tblCellMar>
            <w:top w:w="15" w:type="dxa"/>
            <w:left w:w="15" w:type="dxa"/>
            <w:bottom w:w="15" w:type="dxa"/>
            <w:right w:w="15" w:type="dxa"/>
          </w:tblCellMar>
        </w:tblPrEx>
        <w:trPr>
          <w:trHeight w:val="90" w:hRule="atLeast"/>
          <w:jc w:val="center"/>
        </w:trPr>
        <w:tc>
          <w:tcPr>
            <w:tcW w:w="3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信息内容</w:t>
            </w:r>
          </w:p>
        </w:tc>
        <w:tc>
          <w:tcPr>
            <w:tcW w:w="247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上一年项目数量</w:t>
            </w:r>
          </w:p>
        </w:tc>
        <w:tc>
          <w:tcPr>
            <w:tcW w:w="152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本年增/减</w:t>
            </w:r>
          </w:p>
        </w:tc>
        <w:tc>
          <w:tcPr>
            <w:tcW w:w="211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处理决定数量</w:t>
            </w:r>
          </w:p>
        </w:tc>
      </w:tr>
      <w:tr>
        <w:tblPrEx>
          <w:tblCellMar>
            <w:top w:w="15" w:type="dxa"/>
            <w:left w:w="15" w:type="dxa"/>
            <w:bottom w:w="15" w:type="dxa"/>
            <w:right w:w="15" w:type="dxa"/>
          </w:tblCellMar>
        </w:tblPrEx>
        <w:trPr>
          <w:trHeight w:val="90" w:hRule="atLeast"/>
          <w:jc w:val="center"/>
        </w:trPr>
        <w:tc>
          <w:tcPr>
            <w:tcW w:w="3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行政处罚</w:t>
            </w:r>
          </w:p>
        </w:tc>
        <w:tc>
          <w:tcPr>
            <w:tcW w:w="24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c>
          <w:tcPr>
            <w:tcW w:w="152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c>
          <w:tcPr>
            <w:tcW w:w="211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r>
      <w:tr>
        <w:tblPrEx>
          <w:tblCellMar>
            <w:top w:w="15" w:type="dxa"/>
            <w:left w:w="15" w:type="dxa"/>
            <w:bottom w:w="15" w:type="dxa"/>
            <w:right w:w="15" w:type="dxa"/>
          </w:tblCellMar>
        </w:tblPrEx>
        <w:trPr>
          <w:trHeight w:val="90" w:hRule="atLeast"/>
          <w:jc w:val="center"/>
        </w:trPr>
        <w:tc>
          <w:tcPr>
            <w:tcW w:w="3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行政强制</w:t>
            </w:r>
          </w:p>
        </w:tc>
        <w:tc>
          <w:tcPr>
            <w:tcW w:w="24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c>
          <w:tcPr>
            <w:tcW w:w="152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c>
          <w:tcPr>
            <w:tcW w:w="211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r>
      <w:tr>
        <w:tblPrEx>
          <w:tblCellMar>
            <w:top w:w="15" w:type="dxa"/>
            <w:left w:w="15" w:type="dxa"/>
            <w:bottom w:w="15" w:type="dxa"/>
            <w:right w:w="15" w:type="dxa"/>
          </w:tblCellMar>
        </w:tblPrEx>
        <w:trPr>
          <w:trHeight w:val="90" w:hRule="atLeast"/>
          <w:jc w:val="center"/>
        </w:trPr>
        <w:tc>
          <w:tcPr>
            <w:tcW w:w="946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第二十条第（八）项</w:t>
            </w:r>
          </w:p>
        </w:tc>
      </w:tr>
      <w:tr>
        <w:tblPrEx>
          <w:tblCellMar>
            <w:top w:w="15" w:type="dxa"/>
            <w:left w:w="15" w:type="dxa"/>
            <w:bottom w:w="15" w:type="dxa"/>
            <w:right w:w="15" w:type="dxa"/>
          </w:tblCellMar>
        </w:tblPrEx>
        <w:trPr>
          <w:trHeight w:val="90" w:hRule="atLeast"/>
          <w:jc w:val="center"/>
        </w:trPr>
        <w:tc>
          <w:tcPr>
            <w:tcW w:w="3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信息内容</w:t>
            </w:r>
          </w:p>
        </w:tc>
        <w:tc>
          <w:tcPr>
            <w:tcW w:w="24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上一年项目数量</w:t>
            </w:r>
          </w:p>
        </w:tc>
        <w:tc>
          <w:tcPr>
            <w:tcW w:w="3634" w:type="dxa"/>
            <w:gridSpan w:val="2"/>
            <w:tcBorders>
              <w:top w:val="single" w:color="auto" w:sz="8" w:space="0"/>
              <w:left w:val="nil"/>
              <w:bottom w:val="single" w:color="auto"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本年增/减</w:t>
            </w:r>
          </w:p>
        </w:tc>
      </w:tr>
      <w:tr>
        <w:tblPrEx>
          <w:tblCellMar>
            <w:top w:w="15" w:type="dxa"/>
            <w:left w:w="15" w:type="dxa"/>
            <w:bottom w:w="15" w:type="dxa"/>
            <w:right w:w="15" w:type="dxa"/>
          </w:tblCellMar>
        </w:tblPrEx>
        <w:trPr>
          <w:trHeight w:val="90" w:hRule="atLeast"/>
          <w:jc w:val="center"/>
        </w:trPr>
        <w:tc>
          <w:tcPr>
            <w:tcW w:w="3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行政事业性收费</w:t>
            </w:r>
          </w:p>
        </w:tc>
        <w:tc>
          <w:tcPr>
            <w:tcW w:w="24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c>
          <w:tcPr>
            <w:tcW w:w="3634" w:type="dxa"/>
            <w:gridSpan w:val="2"/>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宋体" w:hAnsi="宋体" w:cs="方正仿宋_GBK"/>
                <w:color w:val="auto"/>
                <w:kern w:val="0"/>
                <w:sz w:val="24"/>
                <w:lang w:val="en-US" w:eastAsia="zh-CN" w:bidi="ar"/>
              </w:rPr>
              <w:t>0</w:t>
            </w:r>
          </w:p>
        </w:tc>
      </w:tr>
      <w:tr>
        <w:tblPrEx>
          <w:tblCellMar>
            <w:top w:w="15" w:type="dxa"/>
            <w:left w:w="15" w:type="dxa"/>
            <w:bottom w:w="15" w:type="dxa"/>
            <w:right w:w="15" w:type="dxa"/>
          </w:tblCellMar>
        </w:tblPrEx>
        <w:trPr>
          <w:trHeight w:val="90" w:hRule="atLeast"/>
          <w:jc w:val="center"/>
        </w:trPr>
        <w:tc>
          <w:tcPr>
            <w:tcW w:w="946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第二十条第（九）项</w:t>
            </w:r>
          </w:p>
        </w:tc>
      </w:tr>
      <w:tr>
        <w:tblPrEx>
          <w:tblCellMar>
            <w:top w:w="15" w:type="dxa"/>
            <w:left w:w="15" w:type="dxa"/>
            <w:bottom w:w="15" w:type="dxa"/>
            <w:right w:w="15" w:type="dxa"/>
          </w:tblCellMar>
        </w:tblPrEx>
        <w:trPr>
          <w:trHeight w:val="90" w:hRule="atLeast"/>
          <w:jc w:val="center"/>
        </w:trPr>
        <w:tc>
          <w:tcPr>
            <w:tcW w:w="3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信息内容</w:t>
            </w:r>
          </w:p>
        </w:tc>
        <w:tc>
          <w:tcPr>
            <w:tcW w:w="24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采购项目数量</w:t>
            </w:r>
          </w:p>
        </w:tc>
        <w:tc>
          <w:tcPr>
            <w:tcW w:w="3634" w:type="dxa"/>
            <w:gridSpan w:val="2"/>
            <w:tcBorders>
              <w:top w:val="single" w:color="auto" w:sz="8" w:space="0"/>
              <w:left w:val="nil"/>
              <w:bottom w:val="single" w:color="auto"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采购总金额</w:t>
            </w:r>
          </w:p>
        </w:tc>
      </w:tr>
      <w:tr>
        <w:tblPrEx>
          <w:tblCellMar>
            <w:top w:w="15" w:type="dxa"/>
            <w:left w:w="15" w:type="dxa"/>
            <w:bottom w:w="15" w:type="dxa"/>
            <w:right w:w="15" w:type="dxa"/>
          </w:tblCellMar>
        </w:tblPrEx>
        <w:trPr>
          <w:trHeight w:val="90" w:hRule="atLeast"/>
          <w:jc w:val="center"/>
        </w:trPr>
        <w:tc>
          <w:tcPr>
            <w:tcW w:w="3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方正仿宋_GBK" w:hAnsi="方正仿宋_GBK" w:cs="方正仿宋_GBK"/>
                <w:color w:val="auto"/>
                <w:sz w:val="24"/>
              </w:rPr>
            </w:pPr>
            <w:r>
              <w:rPr>
                <w:rFonts w:hint="eastAsia" w:ascii="方正仿宋_GBK" w:hAnsi="方正仿宋_GBK" w:cs="方正仿宋_GBK"/>
                <w:color w:val="auto"/>
                <w:kern w:val="0"/>
                <w:sz w:val="24"/>
                <w:lang w:bidi="ar"/>
              </w:rPr>
              <w:t>政府集中采购</w:t>
            </w:r>
          </w:p>
        </w:tc>
        <w:tc>
          <w:tcPr>
            <w:tcW w:w="24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kern w:val="0"/>
                <w:sz w:val="24"/>
                <w:lang w:val="en-US" w:eastAsia="zh-CN" w:bidi="ar"/>
              </w:rPr>
              <w:t>0</w:t>
            </w:r>
          </w:p>
        </w:tc>
        <w:tc>
          <w:tcPr>
            <w:tcW w:w="3634" w:type="dxa"/>
            <w:gridSpan w:val="2"/>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color w:val="auto"/>
                <w:sz w:val="24"/>
                <w:lang w:val="en-US" w:eastAsia="zh-CN"/>
              </w:rPr>
            </w:pPr>
            <w:r>
              <w:rPr>
                <w:rFonts w:hint="eastAsia" w:ascii="方正仿宋_GBK" w:hAnsi="方正仿宋_GBK" w:cs="方正仿宋_GBK"/>
                <w:color w:val="auto"/>
                <w:sz w:val="24"/>
                <w:lang w:val="en-US" w:eastAsia="zh-CN"/>
              </w:rPr>
              <w:t>0</w:t>
            </w:r>
          </w:p>
        </w:tc>
      </w:tr>
    </w:tbl>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2"/>
        <w:jc w:val="both"/>
        <w:textAlignment w:val="auto"/>
        <w:rPr>
          <w:rFonts w:hint="eastAsia" w:ascii="黑体" w:hAnsi="黑体" w:eastAsia="黑体"/>
          <w:color w:val="auto"/>
        </w:rPr>
      </w:pPr>
      <w:r>
        <w:rPr>
          <w:rFonts w:hint="eastAsia" w:ascii="黑体" w:hAnsi="黑体" w:eastAsia="黑体" w:cs="黑体"/>
          <w:color w:val="auto"/>
          <w:sz w:val="32"/>
          <w:szCs w:val="32"/>
        </w:rPr>
        <w:t>三、收到和处理政府信息公开申请情况</w:t>
      </w:r>
    </w:p>
    <w:tbl>
      <w:tblPr>
        <w:tblStyle w:val="7"/>
        <w:tblW w:w="985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06"/>
        <w:gridCol w:w="1169"/>
        <w:gridCol w:w="2236"/>
        <w:gridCol w:w="539"/>
        <w:gridCol w:w="785"/>
        <w:gridCol w:w="686"/>
        <w:gridCol w:w="942"/>
        <w:gridCol w:w="903"/>
        <w:gridCol w:w="652"/>
        <w:gridCol w:w="104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9" w:hRule="atLeast"/>
          <w:jc w:val="center"/>
        </w:trPr>
        <w:tc>
          <w:tcPr>
            <w:tcW w:w="4311"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（本列数据的勾稽关系为：第一项加第二项之和，等于第三项加第四项之和）</w:t>
            </w:r>
          </w:p>
        </w:tc>
        <w:tc>
          <w:tcPr>
            <w:tcW w:w="5548"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9" w:hRule="atLeast"/>
          <w:jc w:val="center"/>
        </w:trPr>
        <w:tc>
          <w:tcPr>
            <w:tcW w:w="4311" w:type="dxa"/>
            <w:gridSpan w:val="3"/>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539"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自然人</w:t>
            </w:r>
          </w:p>
        </w:tc>
        <w:tc>
          <w:tcPr>
            <w:tcW w:w="396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法人或其他组织</w:t>
            </w:r>
          </w:p>
        </w:tc>
        <w:tc>
          <w:tcPr>
            <w:tcW w:w="1041"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8" w:hRule="atLeast"/>
          <w:jc w:val="center"/>
        </w:trPr>
        <w:tc>
          <w:tcPr>
            <w:tcW w:w="4311" w:type="dxa"/>
            <w:gridSpan w:val="3"/>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53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商业企业</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科研机构</w:t>
            </w:r>
          </w:p>
        </w:tc>
        <w:tc>
          <w:tcPr>
            <w:tcW w:w="9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社会公益组织</w:t>
            </w:r>
          </w:p>
        </w:tc>
        <w:tc>
          <w:tcPr>
            <w:tcW w:w="90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法律服务机构</w:t>
            </w:r>
          </w:p>
        </w:tc>
        <w:tc>
          <w:tcPr>
            <w:tcW w:w="65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其他</w:t>
            </w:r>
          </w:p>
        </w:tc>
        <w:tc>
          <w:tcPr>
            <w:tcW w:w="1041" w:type="dxa"/>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9" w:hRule="atLeast"/>
          <w:jc w:val="center"/>
        </w:trPr>
        <w:tc>
          <w:tcPr>
            <w:tcW w:w="4311"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rFonts w:hAnsi="方正仿宋_GBK"/>
                <w:color w:val="auto"/>
                <w:kern w:val="0"/>
                <w:sz w:val="20"/>
                <w:szCs w:val="20"/>
                <w:lang w:bidi="ar"/>
              </w:rPr>
              <w:t>一、本年新收政府信息公开申请数量</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eastAsia="方正仿宋_GBK"/>
                <w:color w:val="auto"/>
                <w:sz w:val="20"/>
                <w:szCs w:val="20"/>
                <w:lang w:val="en-US" w:eastAsia="zh-CN"/>
              </w:rPr>
            </w:pPr>
            <w:r>
              <w:rPr>
                <w:color w:val="auto"/>
                <w:kern w:val="0"/>
                <w:sz w:val="20"/>
                <w:szCs w:val="20"/>
                <w:lang w:bidi="ar"/>
              </w:rPr>
              <w:t> </w:t>
            </w:r>
            <w:r>
              <w:rPr>
                <w:rFonts w:hint="eastAsia"/>
                <w:color w:val="auto"/>
                <w:kern w:val="0"/>
                <w:sz w:val="20"/>
                <w:szCs w:val="20"/>
                <w:lang w:val="en-US" w:eastAsia="zh-CN" w:bidi="ar"/>
              </w:rPr>
              <w:t>0</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sz w:val="20"/>
                <w:szCs w:val="20"/>
              </w:rPr>
            </w:pPr>
            <w:r>
              <w:rPr>
                <w:rFonts w:hint="eastAsia"/>
                <w:color w:val="auto"/>
                <w:kern w:val="0"/>
                <w:sz w:val="20"/>
                <w:szCs w:val="20"/>
                <w:lang w:val="en-US" w:eastAsia="zh-CN" w:bidi="ar"/>
              </w:rPr>
              <w:t>0</w:t>
            </w: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sz w:val="20"/>
                <w:szCs w:val="20"/>
              </w:rPr>
            </w:pPr>
            <w:r>
              <w:rPr>
                <w:rFonts w:hint="eastAsia"/>
                <w:color w:val="auto"/>
                <w:kern w:val="0"/>
                <w:sz w:val="20"/>
                <w:szCs w:val="20"/>
                <w:lang w:val="en-US" w:eastAsia="zh-CN" w:bidi="ar"/>
              </w:rPr>
              <w:t>0</w:t>
            </w: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sz w:val="20"/>
                <w:szCs w:val="20"/>
              </w:rPr>
            </w:pPr>
            <w:r>
              <w:rPr>
                <w:rFonts w:hint="eastAsia"/>
                <w:color w:val="auto"/>
                <w:kern w:val="0"/>
                <w:sz w:val="20"/>
                <w:szCs w:val="20"/>
                <w:lang w:val="en-US" w:eastAsia="zh-CN" w:bidi="ar"/>
              </w:rPr>
              <w:t>0</w:t>
            </w: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sz w:val="20"/>
                <w:szCs w:val="20"/>
              </w:rPr>
            </w:pPr>
            <w:r>
              <w:rPr>
                <w:rFonts w:hint="eastAsia"/>
                <w:color w:val="auto"/>
                <w:kern w:val="0"/>
                <w:sz w:val="20"/>
                <w:szCs w:val="20"/>
                <w:lang w:val="en-US" w:eastAsia="zh-CN" w:bidi="ar"/>
              </w:rPr>
              <w:t>0</w:t>
            </w: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sz w:val="20"/>
                <w:szCs w:val="20"/>
              </w:rPr>
            </w:pPr>
            <w:r>
              <w:rPr>
                <w:rFonts w:hint="eastAsia"/>
                <w:color w:val="auto"/>
                <w:kern w:val="0"/>
                <w:sz w:val="20"/>
                <w:szCs w:val="20"/>
                <w:lang w:val="en-US" w:eastAsia="zh-CN" w:bidi="ar"/>
              </w:rPr>
              <w:t>0</w:t>
            </w: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eastAsia="方正仿宋_GBK"/>
                <w:color w:val="auto"/>
                <w:sz w:val="20"/>
                <w:szCs w:val="20"/>
                <w:lang w:val="en-US" w:eastAsia="zh-CN"/>
              </w:rPr>
            </w:pPr>
            <w:r>
              <w:rPr>
                <w:rFonts w:hint="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9" w:hRule="atLeast"/>
          <w:jc w:val="center"/>
        </w:trPr>
        <w:tc>
          <w:tcPr>
            <w:tcW w:w="4311"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rFonts w:hAnsi="方正仿宋_GBK"/>
                <w:color w:val="auto"/>
                <w:kern w:val="0"/>
                <w:sz w:val="20"/>
                <w:szCs w:val="20"/>
                <w:lang w:bidi="ar"/>
              </w:rPr>
              <w:t>二、上年结转政府信息公开申请数量</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r>
              <w:rPr>
                <w:rFonts w:hint="eastAsia"/>
                <w:color w:val="auto"/>
                <w:kern w:val="0"/>
                <w:sz w:val="20"/>
                <w:szCs w:val="20"/>
                <w:lang w:val="en-US" w:eastAsia="zh-CN" w:bidi="ar"/>
              </w:rPr>
              <w:t>0</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int="eastAsia"/>
                <w:color w:val="auto"/>
                <w:kern w:val="0"/>
                <w:sz w:val="20"/>
                <w:szCs w:val="20"/>
                <w:lang w:val="en-US" w:eastAsia="zh-CN" w:bidi="ar"/>
              </w:rPr>
              <w:t>0</w:t>
            </w: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int="eastAsia"/>
                <w:color w:val="auto"/>
                <w:kern w:val="0"/>
                <w:sz w:val="20"/>
                <w:szCs w:val="20"/>
                <w:lang w:val="en-US" w:eastAsia="zh-CN" w:bidi="ar"/>
              </w:rPr>
              <w:t>0</w:t>
            </w: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int="eastAsia"/>
                <w:color w:val="auto"/>
                <w:kern w:val="0"/>
                <w:sz w:val="20"/>
                <w:szCs w:val="20"/>
                <w:lang w:val="en-US" w:eastAsia="zh-CN" w:bidi="ar"/>
              </w:rPr>
              <w:t>0</w:t>
            </w: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int="eastAsia"/>
                <w:color w:val="auto"/>
                <w:kern w:val="0"/>
                <w:sz w:val="20"/>
                <w:szCs w:val="20"/>
                <w:lang w:val="en-US" w:eastAsia="zh-CN" w:bidi="ar"/>
              </w:rPr>
              <w:t>0</w:t>
            </w: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int="eastAsia"/>
                <w:color w:val="auto"/>
                <w:kern w:val="0"/>
                <w:sz w:val="20"/>
                <w:szCs w:val="20"/>
                <w:lang w:val="en-US" w:eastAsia="zh-CN" w:bidi="ar"/>
              </w:rPr>
              <w:t>0</w:t>
            </w: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sz w:val="20"/>
                <w:szCs w:val="20"/>
              </w:rPr>
            </w:pPr>
            <w:r>
              <w:rPr>
                <w:rFonts w:hint="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9" w:hRule="atLeast"/>
          <w:jc w:val="center"/>
        </w:trPr>
        <w:tc>
          <w:tcPr>
            <w:tcW w:w="90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三、本年度办理结果</w:t>
            </w:r>
          </w:p>
        </w:tc>
        <w:tc>
          <w:tcPr>
            <w:tcW w:w="340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rFonts w:hAnsi="方正仿宋_GBK"/>
                <w:color w:val="auto"/>
                <w:kern w:val="0"/>
                <w:sz w:val="20"/>
                <w:szCs w:val="20"/>
                <w:lang w:bidi="ar"/>
              </w:rPr>
              <w:t>（一）予以公开</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eastAsia="方正仿宋_GBK"/>
                <w:color w:val="auto"/>
                <w:sz w:val="20"/>
                <w:szCs w:val="20"/>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8"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340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rFonts w:hAnsi="方正仿宋_GBK"/>
                <w:color w:val="auto"/>
                <w:kern w:val="0"/>
                <w:sz w:val="20"/>
                <w:szCs w:val="20"/>
                <w:lang w:bidi="ar"/>
              </w:rPr>
              <w:t>（二）部分公开（区分处理的，只计这一情形，不计其他情形）</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eastAsia="方正仿宋_GBK"/>
                <w:color w:val="auto"/>
                <w:sz w:val="20"/>
                <w:szCs w:val="20"/>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8"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1169"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rFonts w:hAnsi="方正仿宋_GBK"/>
                <w:color w:val="auto"/>
                <w:kern w:val="0"/>
                <w:sz w:val="20"/>
                <w:szCs w:val="20"/>
                <w:lang w:bidi="ar"/>
              </w:rPr>
              <w:t>（三）不予公开</w:t>
            </w:r>
          </w:p>
        </w:tc>
        <w:tc>
          <w:tcPr>
            <w:tcW w:w="22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color w:val="auto"/>
                <w:kern w:val="0"/>
                <w:sz w:val="20"/>
                <w:szCs w:val="20"/>
                <w:lang w:bidi="ar"/>
              </w:rPr>
              <w:t>1.</w:t>
            </w:r>
            <w:r>
              <w:rPr>
                <w:rFonts w:hAnsi="方正仿宋_GBK"/>
                <w:color w:val="auto"/>
                <w:kern w:val="0"/>
                <w:sz w:val="20"/>
                <w:szCs w:val="20"/>
                <w:lang w:bidi="ar"/>
              </w:rPr>
              <w:t>属于国家秘密</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eastAsia="方正仿宋_GBK"/>
                <w:color w:val="auto"/>
                <w:sz w:val="20"/>
                <w:szCs w:val="20"/>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8"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116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22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color w:val="auto"/>
                <w:kern w:val="0"/>
                <w:sz w:val="20"/>
                <w:szCs w:val="20"/>
                <w:lang w:bidi="ar"/>
              </w:rPr>
              <w:t>2.</w:t>
            </w:r>
            <w:r>
              <w:rPr>
                <w:rFonts w:hAnsi="方正仿宋_GBK"/>
                <w:color w:val="auto"/>
                <w:kern w:val="0"/>
                <w:sz w:val="20"/>
                <w:szCs w:val="20"/>
                <w:lang w:bidi="ar"/>
              </w:rPr>
              <w:t>其他法律行政法规禁止公开</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center"/>
              <w:textAlignment w:val="auto"/>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9"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116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22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color w:val="auto"/>
                <w:kern w:val="0"/>
                <w:sz w:val="20"/>
                <w:szCs w:val="20"/>
                <w:lang w:bidi="ar"/>
              </w:rPr>
              <w:t>3.</w:t>
            </w:r>
            <w:r>
              <w:rPr>
                <w:rFonts w:hAnsi="方正仿宋_GBK"/>
                <w:color w:val="auto"/>
                <w:kern w:val="0"/>
                <w:sz w:val="20"/>
                <w:szCs w:val="20"/>
                <w:lang w:bidi="ar"/>
              </w:rPr>
              <w:t>危及</w:t>
            </w:r>
            <w:r>
              <w:rPr>
                <w:color w:val="auto"/>
                <w:kern w:val="0"/>
                <w:sz w:val="20"/>
                <w:szCs w:val="20"/>
                <w:lang w:bidi="ar"/>
              </w:rPr>
              <w:t>“</w:t>
            </w:r>
            <w:r>
              <w:rPr>
                <w:rFonts w:hAnsi="方正仿宋_GBK"/>
                <w:color w:val="auto"/>
                <w:kern w:val="0"/>
                <w:sz w:val="20"/>
                <w:szCs w:val="20"/>
                <w:lang w:bidi="ar"/>
              </w:rPr>
              <w:t>三安全一稳定</w:t>
            </w:r>
            <w:r>
              <w:rPr>
                <w:color w:val="auto"/>
                <w:kern w:val="0"/>
                <w:sz w:val="20"/>
                <w:szCs w:val="20"/>
                <w:lang w:bidi="ar"/>
              </w:rPr>
              <w:t>”</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center"/>
              <w:textAlignment w:val="auto"/>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9"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116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22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color w:val="auto"/>
                <w:kern w:val="0"/>
                <w:sz w:val="20"/>
                <w:szCs w:val="20"/>
                <w:lang w:bidi="ar"/>
              </w:rPr>
              <w:t>4.</w:t>
            </w:r>
            <w:r>
              <w:rPr>
                <w:rFonts w:hAnsi="方正仿宋_GBK"/>
                <w:color w:val="auto"/>
                <w:kern w:val="0"/>
                <w:sz w:val="20"/>
                <w:szCs w:val="20"/>
                <w:lang w:bidi="ar"/>
              </w:rPr>
              <w:t>保护第三方合法权益</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both"/>
              <w:textAlignment w:val="auto"/>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8"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116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22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color w:val="auto"/>
                <w:kern w:val="0"/>
                <w:sz w:val="20"/>
                <w:szCs w:val="20"/>
                <w:lang w:bidi="ar"/>
              </w:rPr>
              <w:t>5.</w:t>
            </w:r>
            <w:r>
              <w:rPr>
                <w:rFonts w:hAnsi="方正仿宋_GBK"/>
                <w:color w:val="auto"/>
                <w:kern w:val="0"/>
                <w:sz w:val="20"/>
                <w:szCs w:val="20"/>
                <w:lang w:bidi="ar"/>
              </w:rPr>
              <w:t>属于三类内部事务信息</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both"/>
              <w:textAlignment w:val="auto"/>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9"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116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22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color w:val="auto"/>
                <w:kern w:val="0"/>
                <w:sz w:val="20"/>
                <w:szCs w:val="20"/>
                <w:lang w:bidi="ar"/>
              </w:rPr>
              <w:t>6.</w:t>
            </w:r>
            <w:r>
              <w:rPr>
                <w:rFonts w:hAnsi="方正仿宋_GBK"/>
                <w:color w:val="auto"/>
                <w:kern w:val="0"/>
                <w:sz w:val="20"/>
                <w:szCs w:val="20"/>
                <w:lang w:bidi="ar"/>
              </w:rPr>
              <w:t>属于四类过程性信息</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both"/>
              <w:textAlignment w:val="auto"/>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9"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116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22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color w:val="auto"/>
                <w:kern w:val="0"/>
                <w:sz w:val="20"/>
                <w:szCs w:val="20"/>
                <w:lang w:bidi="ar"/>
              </w:rPr>
              <w:t>7.</w:t>
            </w:r>
            <w:r>
              <w:rPr>
                <w:rFonts w:hAnsi="方正仿宋_GBK"/>
                <w:color w:val="auto"/>
                <w:kern w:val="0"/>
                <w:sz w:val="20"/>
                <w:szCs w:val="20"/>
                <w:lang w:bidi="ar"/>
              </w:rPr>
              <w:t>属于行政执法案卷</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both"/>
              <w:textAlignment w:val="auto"/>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9"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116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22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color w:val="auto"/>
                <w:kern w:val="0"/>
                <w:sz w:val="20"/>
                <w:szCs w:val="20"/>
                <w:lang w:bidi="ar"/>
              </w:rPr>
              <w:t>8.</w:t>
            </w:r>
            <w:r>
              <w:rPr>
                <w:rFonts w:hAnsi="方正仿宋_GBK"/>
                <w:color w:val="auto"/>
                <w:kern w:val="0"/>
                <w:sz w:val="20"/>
                <w:szCs w:val="20"/>
                <w:lang w:bidi="ar"/>
              </w:rPr>
              <w:t>属于行政查询事项</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both"/>
              <w:textAlignment w:val="auto"/>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8"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1169"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rFonts w:hAnsi="方正仿宋_GBK"/>
                <w:color w:val="auto"/>
                <w:kern w:val="0"/>
                <w:sz w:val="20"/>
                <w:szCs w:val="20"/>
                <w:lang w:bidi="ar"/>
              </w:rPr>
              <w:t>（四）无法提供</w:t>
            </w:r>
          </w:p>
        </w:tc>
        <w:tc>
          <w:tcPr>
            <w:tcW w:w="22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color w:val="auto"/>
                <w:kern w:val="0"/>
                <w:sz w:val="20"/>
                <w:szCs w:val="20"/>
                <w:lang w:bidi="ar"/>
              </w:rPr>
              <w:t>1.</w:t>
            </w:r>
            <w:r>
              <w:rPr>
                <w:rFonts w:hAnsi="方正仿宋_GBK"/>
                <w:color w:val="auto"/>
                <w:kern w:val="0"/>
                <w:sz w:val="20"/>
                <w:szCs w:val="20"/>
                <w:lang w:bidi="ar"/>
              </w:rPr>
              <w:t>本机关不掌握相关政府信息</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both"/>
              <w:textAlignment w:val="auto"/>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8"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116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22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color w:val="auto"/>
                <w:kern w:val="0"/>
                <w:sz w:val="20"/>
                <w:szCs w:val="20"/>
                <w:lang w:bidi="ar"/>
              </w:rPr>
              <w:t>2.</w:t>
            </w:r>
            <w:r>
              <w:rPr>
                <w:rFonts w:hAnsi="方正仿宋_GBK"/>
                <w:color w:val="auto"/>
                <w:kern w:val="0"/>
                <w:sz w:val="20"/>
                <w:szCs w:val="20"/>
                <w:lang w:bidi="ar"/>
              </w:rPr>
              <w:t>没有现成信息需要另行制作</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both"/>
              <w:textAlignment w:val="auto"/>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8"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116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22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color w:val="auto"/>
                <w:kern w:val="0"/>
                <w:sz w:val="20"/>
                <w:szCs w:val="20"/>
                <w:lang w:bidi="ar"/>
              </w:rPr>
              <w:t>3.</w:t>
            </w:r>
            <w:r>
              <w:rPr>
                <w:rFonts w:hAnsi="方正仿宋_GBK"/>
                <w:color w:val="auto"/>
                <w:kern w:val="0"/>
                <w:sz w:val="20"/>
                <w:szCs w:val="20"/>
                <w:lang w:bidi="ar"/>
              </w:rPr>
              <w:t>补正后申请内容仍不明确</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both"/>
              <w:textAlignment w:val="auto"/>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9"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1169"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rFonts w:hAnsi="方正仿宋_GBK"/>
                <w:color w:val="auto"/>
                <w:kern w:val="0"/>
                <w:sz w:val="20"/>
                <w:szCs w:val="20"/>
                <w:lang w:bidi="ar"/>
              </w:rPr>
              <w:t>（五）不予处理</w:t>
            </w:r>
          </w:p>
        </w:tc>
        <w:tc>
          <w:tcPr>
            <w:tcW w:w="22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color w:val="auto"/>
                <w:kern w:val="0"/>
                <w:sz w:val="20"/>
                <w:szCs w:val="20"/>
                <w:lang w:bidi="ar"/>
              </w:rPr>
              <w:t>1.</w:t>
            </w:r>
            <w:r>
              <w:rPr>
                <w:rFonts w:hAnsi="方正仿宋_GBK"/>
                <w:color w:val="auto"/>
                <w:kern w:val="0"/>
                <w:sz w:val="20"/>
                <w:szCs w:val="20"/>
                <w:lang w:bidi="ar"/>
              </w:rPr>
              <w:t>信访举报投诉类申请</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both"/>
              <w:textAlignment w:val="auto"/>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59"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116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22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color w:val="auto"/>
                <w:kern w:val="0"/>
                <w:sz w:val="20"/>
                <w:szCs w:val="20"/>
                <w:lang w:bidi="ar"/>
              </w:rPr>
              <w:t>2.</w:t>
            </w:r>
            <w:r>
              <w:rPr>
                <w:rFonts w:hAnsi="方正仿宋_GBK"/>
                <w:color w:val="auto"/>
                <w:kern w:val="0"/>
                <w:sz w:val="20"/>
                <w:szCs w:val="20"/>
                <w:lang w:bidi="ar"/>
              </w:rPr>
              <w:t>重复申请</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both"/>
              <w:textAlignment w:val="auto"/>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9"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116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22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color w:val="auto"/>
                <w:kern w:val="0"/>
                <w:sz w:val="20"/>
                <w:szCs w:val="20"/>
                <w:lang w:bidi="ar"/>
              </w:rPr>
              <w:t>3.</w:t>
            </w:r>
            <w:r>
              <w:rPr>
                <w:rFonts w:hAnsi="方正仿宋_GBK"/>
                <w:color w:val="auto"/>
                <w:kern w:val="0"/>
                <w:sz w:val="20"/>
                <w:szCs w:val="20"/>
                <w:lang w:bidi="ar"/>
              </w:rPr>
              <w:t>要求提供公开出版物</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both"/>
              <w:textAlignment w:val="auto"/>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8"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116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22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color w:val="auto"/>
                <w:kern w:val="0"/>
                <w:sz w:val="20"/>
                <w:szCs w:val="20"/>
                <w:lang w:bidi="ar"/>
              </w:rPr>
              <w:t>4.</w:t>
            </w:r>
            <w:r>
              <w:rPr>
                <w:rFonts w:hAnsi="方正仿宋_GBK"/>
                <w:color w:val="auto"/>
                <w:kern w:val="0"/>
                <w:sz w:val="20"/>
                <w:szCs w:val="20"/>
                <w:lang w:bidi="ar"/>
              </w:rPr>
              <w:t>无正当理由大量反复申请</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both"/>
              <w:textAlignment w:val="auto"/>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8"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116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22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color w:val="auto"/>
                <w:kern w:val="0"/>
                <w:sz w:val="20"/>
                <w:szCs w:val="20"/>
                <w:lang w:bidi="ar"/>
              </w:rPr>
              <w:t>5.</w:t>
            </w:r>
            <w:r>
              <w:rPr>
                <w:rFonts w:hAnsi="方正仿宋_GBK"/>
                <w:color w:val="auto"/>
                <w:kern w:val="0"/>
                <w:sz w:val="20"/>
                <w:szCs w:val="20"/>
                <w:lang w:bidi="ar"/>
              </w:rPr>
              <w:t>要求行政机关确认或重新出具已获取信息</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both"/>
              <w:textAlignment w:val="auto"/>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9"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340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rFonts w:hAnsi="方正仿宋_GBK"/>
                <w:color w:val="auto"/>
                <w:kern w:val="0"/>
                <w:sz w:val="20"/>
                <w:szCs w:val="20"/>
                <w:lang w:bidi="ar"/>
              </w:rPr>
              <w:t>（六）其他处理</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both"/>
              <w:textAlignment w:val="auto"/>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9" w:hRule="atLeast"/>
          <w:jc w:val="center"/>
        </w:trPr>
        <w:tc>
          <w:tcPr>
            <w:tcW w:w="9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340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rFonts w:hAnsi="方正仿宋_GBK"/>
                <w:color w:val="auto"/>
                <w:kern w:val="0"/>
                <w:sz w:val="20"/>
                <w:szCs w:val="20"/>
                <w:lang w:bidi="ar"/>
              </w:rPr>
              <w:t>（七）总计</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eastAsia="方正仿宋_GBK"/>
                <w:color w:val="auto"/>
                <w:lang w:val="en-US" w:eastAsia="zh-CN"/>
              </w:rPr>
            </w:pPr>
            <w:r>
              <w:rPr>
                <w:rFonts w:hint="eastAsia"/>
                <w:color w:val="auto"/>
                <w:kern w:val="0"/>
                <w:sz w:val="20"/>
                <w:szCs w:val="20"/>
                <w:lang w:val="en-US" w:eastAsia="zh-CN" w:bidi="ar"/>
              </w:rPr>
              <w:t>0</w:t>
            </w: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eastAsia="方正仿宋_GBK"/>
                <w:color w:val="auto"/>
                <w:lang w:val="en-US" w:eastAsia="zh-CN"/>
              </w:rPr>
            </w:pPr>
            <w:r>
              <w:rPr>
                <w:color w:val="auto"/>
                <w:kern w:val="0"/>
                <w:sz w:val="20"/>
                <w:szCs w:val="20"/>
                <w:lang w:bidi="ar"/>
              </w:rPr>
              <w:t> </w:t>
            </w:r>
            <w:r>
              <w:rPr>
                <w:rFonts w:hint="eastAsia"/>
                <w:color w:val="auto"/>
                <w:kern w:val="0"/>
                <w:sz w:val="20"/>
                <w:szCs w:val="20"/>
                <w:lang w:val="en-US" w:eastAsia="zh-CN" w:bidi="ar"/>
              </w:rPr>
              <w:t>0</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int="eastAsia"/>
                <w:color w:val="auto"/>
                <w:kern w:val="0"/>
                <w:sz w:val="20"/>
                <w:szCs w:val="20"/>
                <w:lang w:val="en-US" w:eastAsia="zh-CN" w:bidi="ar"/>
              </w:rPr>
              <w:t>0</w:t>
            </w: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int="eastAsia"/>
                <w:color w:val="auto"/>
                <w:kern w:val="0"/>
                <w:sz w:val="20"/>
                <w:szCs w:val="20"/>
                <w:lang w:val="en-US" w:eastAsia="zh-CN" w:bidi="ar"/>
              </w:rPr>
              <w:t>0</w:t>
            </w: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int="eastAsia"/>
                <w:color w:val="auto"/>
                <w:kern w:val="0"/>
                <w:sz w:val="20"/>
                <w:szCs w:val="20"/>
                <w:lang w:val="en-US" w:eastAsia="zh-CN" w:bidi="ar"/>
              </w:rPr>
              <w:t>0</w:t>
            </w: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int="eastAsia"/>
                <w:color w:val="auto"/>
                <w:kern w:val="0"/>
                <w:sz w:val="20"/>
                <w:szCs w:val="20"/>
                <w:lang w:val="en-US" w:eastAsia="zh-CN" w:bidi="ar"/>
              </w:rPr>
              <w:t>0</w:t>
            </w: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200"/>
              <w:jc w:val="both"/>
              <w:textAlignment w:val="auto"/>
              <w:rPr>
                <w:color w:val="auto"/>
              </w:rPr>
            </w:pPr>
            <w:r>
              <w:rPr>
                <w:rFonts w:hint="eastAsia"/>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8" w:hRule="atLeast"/>
          <w:jc w:val="center"/>
        </w:trPr>
        <w:tc>
          <w:tcPr>
            <w:tcW w:w="4311"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color w:val="auto"/>
              </w:rPr>
            </w:pPr>
            <w:r>
              <w:rPr>
                <w:rFonts w:hAnsi="方正仿宋_GBK"/>
                <w:color w:val="auto"/>
                <w:kern w:val="0"/>
                <w:sz w:val="20"/>
                <w:szCs w:val="20"/>
                <w:lang w:bidi="ar"/>
              </w:rPr>
              <w:t>四、结转下年度继续办理</w:t>
            </w:r>
          </w:p>
        </w:tc>
        <w:tc>
          <w:tcPr>
            <w:tcW w:w="5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int="eastAsia"/>
                <w:color w:val="auto"/>
                <w:kern w:val="0"/>
                <w:sz w:val="20"/>
                <w:szCs w:val="20"/>
                <w:lang w:val="en-US" w:eastAsia="zh-CN" w:bidi="ar"/>
              </w:rPr>
              <w:t>0</w:t>
            </w:r>
            <w:r>
              <w:rPr>
                <w:color w:val="auto"/>
                <w:kern w:val="0"/>
                <w:sz w:val="20"/>
                <w:szCs w:val="20"/>
                <w:lang w:bidi="ar"/>
              </w:rPr>
              <w:t> </w:t>
            </w:r>
          </w:p>
        </w:tc>
        <w:tc>
          <w:tcPr>
            <w:tcW w:w="78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color w:val="auto"/>
                <w:kern w:val="0"/>
                <w:sz w:val="20"/>
                <w:szCs w:val="20"/>
                <w:lang w:bidi="ar"/>
              </w:rPr>
              <w:t> </w:t>
            </w:r>
            <w:r>
              <w:rPr>
                <w:rFonts w:hint="eastAsia"/>
                <w:color w:val="auto"/>
                <w:kern w:val="0"/>
                <w:sz w:val="20"/>
                <w:szCs w:val="20"/>
                <w:lang w:val="en-US" w:eastAsia="zh-CN" w:bidi="ar"/>
              </w:rPr>
              <w:t>0</w:t>
            </w:r>
          </w:p>
        </w:tc>
        <w:tc>
          <w:tcPr>
            <w:tcW w:w="6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int="eastAsia"/>
                <w:color w:val="auto"/>
                <w:kern w:val="0"/>
                <w:sz w:val="20"/>
                <w:szCs w:val="20"/>
                <w:lang w:val="en-US" w:eastAsia="zh-CN" w:bidi="ar"/>
              </w:rPr>
              <w:t>0</w:t>
            </w:r>
            <w:r>
              <w:rPr>
                <w:color w:val="auto"/>
                <w:kern w:val="0"/>
                <w:sz w:val="20"/>
                <w:szCs w:val="20"/>
                <w:lang w:bidi="ar"/>
              </w:rPr>
              <w:t> </w:t>
            </w:r>
          </w:p>
        </w:tc>
        <w:tc>
          <w:tcPr>
            <w:tcW w:w="9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int="eastAsia"/>
                <w:color w:val="auto"/>
                <w:kern w:val="0"/>
                <w:sz w:val="20"/>
                <w:szCs w:val="20"/>
                <w:lang w:val="en-US" w:eastAsia="zh-CN" w:bidi="ar"/>
              </w:rPr>
              <w:t>0</w:t>
            </w:r>
            <w:r>
              <w:rPr>
                <w:color w:val="auto"/>
                <w:kern w:val="0"/>
                <w:sz w:val="20"/>
                <w:szCs w:val="20"/>
                <w:lang w:bidi="ar"/>
              </w:rPr>
              <w:t> </w:t>
            </w:r>
          </w:p>
        </w:tc>
        <w:tc>
          <w:tcPr>
            <w:tcW w:w="9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int="eastAsia"/>
                <w:color w:val="auto"/>
                <w:kern w:val="0"/>
                <w:sz w:val="20"/>
                <w:szCs w:val="20"/>
                <w:lang w:val="en-US" w:eastAsia="zh-CN" w:bidi="ar"/>
              </w:rPr>
              <w:t>0</w:t>
            </w:r>
            <w:r>
              <w:rPr>
                <w:color w:val="auto"/>
                <w:kern w:val="0"/>
                <w:sz w:val="20"/>
                <w:szCs w:val="20"/>
                <w:lang w:bidi="ar"/>
              </w:rPr>
              <w:t> </w:t>
            </w:r>
          </w:p>
        </w:tc>
        <w:tc>
          <w:tcPr>
            <w:tcW w:w="65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int="eastAsia"/>
                <w:color w:val="auto"/>
                <w:kern w:val="0"/>
                <w:sz w:val="20"/>
                <w:szCs w:val="20"/>
                <w:lang w:val="en-US" w:eastAsia="zh-CN" w:bidi="ar"/>
              </w:rPr>
              <w:t>0</w:t>
            </w:r>
            <w:r>
              <w:rPr>
                <w:color w:val="auto"/>
                <w:kern w:val="0"/>
                <w:sz w:val="20"/>
                <w:szCs w:val="20"/>
                <w:lang w:bidi="ar"/>
              </w:rPr>
              <w:t> </w:t>
            </w:r>
          </w:p>
        </w:tc>
        <w:tc>
          <w:tcPr>
            <w:tcW w:w="1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color w:val="auto"/>
                <w:sz w:val="24"/>
              </w:rPr>
            </w:pPr>
            <w:r>
              <w:rPr>
                <w:rFonts w:hint="eastAsia"/>
                <w:color w:val="auto"/>
                <w:kern w:val="0"/>
                <w:sz w:val="20"/>
                <w:szCs w:val="20"/>
                <w:lang w:val="en-US" w:eastAsia="zh-CN" w:bidi="ar"/>
              </w:rPr>
              <w:t>0</w:t>
            </w:r>
          </w:p>
        </w:tc>
      </w:tr>
    </w:tbl>
    <w:p>
      <w:pPr>
        <w:pStyle w:val="6"/>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firstLine="480"/>
        <w:jc w:val="both"/>
        <w:textAlignment w:val="auto"/>
        <w:rPr>
          <w:rFonts w:hint="eastAsia" w:ascii="黑体" w:hAnsi="黑体" w:eastAsia="黑体"/>
          <w:color w:val="auto"/>
          <w:sz w:val="32"/>
          <w:szCs w:val="32"/>
        </w:rPr>
      </w:pPr>
      <w:r>
        <w:rPr>
          <w:rFonts w:hint="eastAsia" w:ascii="黑体" w:hAnsi="黑体" w:eastAsia="黑体"/>
          <w:color w:val="auto"/>
          <w:sz w:val="32"/>
          <w:szCs w:val="32"/>
        </w:rPr>
        <w:t>政府信息公开行政复议、行政诉讼情况</w:t>
      </w:r>
    </w:p>
    <w:tbl>
      <w:tblPr>
        <w:tblStyle w:val="7"/>
        <w:tblpPr w:leftFromText="180" w:rightFromText="180" w:vertAnchor="text" w:tblpXSpec="center" w:tblpY="1"/>
        <w:tblOverlap w:val="never"/>
        <w:tblW w:w="983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746"/>
        <w:gridCol w:w="671"/>
        <w:gridCol w:w="723"/>
        <w:gridCol w:w="622"/>
        <w:gridCol w:w="491"/>
        <w:gridCol w:w="647"/>
        <w:gridCol w:w="737"/>
        <w:gridCol w:w="629"/>
        <w:gridCol w:w="728"/>
        <w:gridCol w:w="571"/>
        <w:gridCol w:w="698"/>
        <w:gridCol w:w="679"/>
        <w:gridCol w:w="670"/>
        <w:gridCol w:w="673"/>
        <w:gridCol w:w="55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5" w:hRule="atLeast"/>
        </w:trPr>
        <w:tc>
          <w:tcPr>
            <w:tcW w:w="325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黑体" w:hAnsi="黑体" w:eastAsia="黑体"/>
                <w:color w:val="auto"/>
              </w:rPr>
            </w:pPr>
            <w:r>
              <w:rPr>
                <w:rFonts w:ascii="黑体" w:hAnsi="黑体" w:eastAsia="黑体"/>
                <w:color w:val="auto"/>
                <w:kern w:val="0"/>
                <w:sz w:val="20"/>
                <w:szCs w:val="20"/>
                <w:lang w:bidi="ar"/>
              </w:rPr>
              <w:t>行政复议</w:t>
            </w:r>
          </w:p>
        </w:tc>
        <w:tc>
          <w:tcPr>
            <w:tcW w:w="6586"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ascii="黑体" w:hAnsi="黑体" w:eastAsia="黑体"/>
                <w:color w:val="auto"/>
              </w:rPr>
            </w:pPr>
            <w:r>
              <w:rPr>
                <w:rFonts w:ascii="黑体" w:hAnsi="黑体" w:eastAsia="黑体"/>
                <w:color w:val="auto"/>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0" w:hRule="atLeast"/>
        </w:trPr>
        <w:tc>
          <w:tcPr>
            <w:tcW w:w="74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结果维持</w:t>
            </w:r>
          </w:p>
        </w:tc>
        <w:tc>
          <w:tcPr>
            <w:tcW w:w="671"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结果纠正</w:t>
            </w:r>
          </w:p>
        </w:tc>
        <w:tc>
          <w:tcPr>
            <w:tcW w:w="723"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其他结果</w:t>
            </w:r>
          </w:p>
        </w:tc>
        <w:tc>
          <w:tcPr>
            <w:tcW w:w="622"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尚未审结</w:t>
            </w:r>
          </w:p>
        </w:tc>
        <w:tc>
          <w:tcPr>
            <w:tcW w:w="491"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总计</w:t>
            </w:r>
          </w:p>
        </w:tc>
        <w:tc>
          <w:tcPr>
            <w:tcW w:w="3312"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未经复议直接起诉</w:t>
            </w:r>
          </w:p>
        </w:tc>
        <w:tc>
          <w:tcPr>
            <w:tcW w:w="3274"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28" w:hRule="atLeast"/>
        </w:trPr>
        <w:tc>
          <w:tcPr>
            <w:tcW w:w="0" w:type="auto"/>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0" w:type="auto"/>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0" w:type="auto"/>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0" w:type="auto"/>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0" w:type="auto"/>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color w:val="auto"/>
                <w:sz w:val="24"/>
              </w:rPr>
            </w:pP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结果维持</w:t>
            </w:r>
          </w:p>
        </w:tc>
        <w:tc>
          <w:tcPr>
            <w:tcW w:w="7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结果纠正</w:t>
            </w:r>
          </w:p>
        </w:tc>
        <w:tc>
          <w:tcPr>
            <w:tcW w:w="62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其他结果</w:t>
            </w:r>
          </w:p>
        </w:tc>
        <w:tc>
          <w:tcPr>
            <w:tcW w:w="72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尚未审结</w:t>
            </w:r>
          </w:p>
        </w:tc>
        <w:tc>
          <w:tcPr>
            <w:tcW w:w="57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总计</w:t>
            </w:r>
          </w:p>
        </w:tc>
        <w:tc>
          <w:tcPr>
            <w:tcW w:w="69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结果维持</w:t>
            </w:r>
          </w:p>
        </w:tc>
        <w:tc>
          <w:tcPr>
            <w:tcW w:w="6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结果纠正</w:t>
            </w:r>
          </w:p>
        </w:tc>
        <w:tc>
          <w:tcPr>
            <w:tcW w:w="67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其他结果</w:t>
            </w:r>
          </w:p>
        </w:tc>
        <w:tc>
          <w:tcPr>
            <w:tcW w:w="67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尚未审结</w:t>
            </w:r>
          </w:p>
        </w:tc>
        <w:tc>
          <w:tcPr>
            <w:tcW w:w="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color w:val="auto"/>
              </w:rPr>
            </w:pPr>
            <w:r>
              <w:rPr>
                <w:rFonts w:hAnsi="方正仿宋_GBK"/>
                <w:color w:val="auto"/>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67" w:hRule="atLeast"/>
        </w:trPr>
        <w:tc>
          <w:tcPr>
            <w:tcW w:w="74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eastAsia="方正仿宋_GBK"/>
                <w:color w:val="auto"/>
                <w:lang w:val="en-US" w:eastAsia="zh-CN"/>
              </w:rPr>
            </w:pPr>
            <w:r>
              <w:rPr>
                <w:rFonts w:hint="eastAsia"/>
                <w:color w:val="auto"/>
                <w:kern w:val="0"/>
                <w:sz w:val="20"/>
                <w:szCs w:val="20"/>
                <w:lang w:val="en-US" w:eastAsia="zh-CN" w:bidi="ar"/>
              </w:rPr>
              <w:t>0</w:t>
            </w:r>
          </w:p>
        </w:tc>
        <w:tc>
          <w:tcPr>
            <w:tcW w:w="6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auto"/>
              <w:rPr>
                <w:color w:val="auto"/>
              </w:rPr>
            </w:pPr>
            <w:r>
              <w:rPr>
                <w:rFonts w:hint="eastAsia"/>
                <w:color w:val="auto"/>
                <w:kern w:val="0"/>
                <w:sz w:val="20"/>
                <w:szCs w:val="20"/>
                <w:lang w:val="en-US" w:eastAsia="zh-CN" w:bidi="ar"/>
              </w:rPr>
              <w:t>0</w:t>
            </w:r>
          </w:p>
        </w:tc>
        <w:tc>
          <w:tcPr>
            <w:tcW w:w="7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auto"/>
              <w:rPr>
                <w:color w:val="auto"/>
              </w:rPr>
            </w:pPr>
            <w:r>
              <w:rPr>
                <w:rFonts w:hint="eastAsia"/>
                <w:color w:val="auto"/>
                <w:kern w:val="0"/>
                <w:sz w:val="20"/>
                <w:szCs w:val="20"/>
                <w:lang w:val="en-US" w:eastAsia="zh-CN" w:bidi="ar"/>
              </w:rPr>
              <w:t>0</w:t>
            </w:r>
          </w:p>
        </w:tc>
        <w:tc>
          <w:tcPr>
            <w:tcW w:w="62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auto"/>
              <w:rPr>
                <w:color w:val="auto"/>
              </w:rPr>
            </w:pPr>
            <w:r>
              <w:rPr>
                <w:rFonts w:hint="eastAsia"/>
                <w:color w:val="auto"/>
                <w:kern w:val="0"/>
                <w:sz w:val="20"/>
                <w:szCs w:val="20"/>
                <w:lang w:val="en-US" w:eastAsia="zh-CN" w:bidi="ar"/>
              </w:rPr>
              <w:t>0</w:t>
            </w:r>
          </w:p>
        </w:tc>
        <w:tc>
          <w:tcPr>
            <w:tcW w:w="4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eastAsia="方正仿宋_GBK"/>
                <w:color w:val="auto"/>
                <w:lang w:val="en-US" w:eastAsia="zh-CN"/>
              </w:rPr>
            </w:pPr>
            <w:r>
              <w:rPr>
                <w:rFonts w:hint="eastAsia"/>
                <w:color w:val="auto"/>
                <w:kern w:val="0"/>
                <w:sz w:val="20"/>
                <w:szCs w:val="20"/>
                <w:lang w:val="en-US" w:eastAsia="zh-CN" w:bidi="ar"/>
              </w:rPr>
              <w:t>0</w:t>
            </w:r>
          </w:p>
        </w:tc>
        <w:tc>
          <w:tcPr>
            <w:tcW w:w="6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eastAsia="方正仿宋_GBK"/>
                <w:color w:val="auto"/>
                <w:lang w:val="en-US" w:eastAsia="zh-CN"/>
              </w:rPr>
            </w:pPr>
            <w:r>
              <w:rPr>
                <w:rFonts w:hint="eastAsia"/>
                <w:color w:val="auto"/>
                <w:kern w:val="0"/>
                <w:sz w:val="20"/>
                <w:szCs w:val="20"/>
                <w:lang w:val="en-US" w:eastAsia="zh-CN" w:bidi="ar"/>
              </w:rPr>
              <w:t>0</w:t>
            </w:r>
          </w:p>
        </w:tc>
        <w:tc>
          <w:tcPr>
            <w:tcW w:w="7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auto"/>
              <w:rPr>
                <w:color w:val="auto"/>
              </w:rPr>
            </w:pPr>
            <w:r>
              <w:rPr>
                <w:rFonts w:hint="eastAsia"/>
                <w:color w:val="auto"/>
                <w:kern w:val="0"/>
                <w:sz w:val="20"/>
                <w:szCs w:val="20"/>
                <w:lang w:val="en-US" w:eastAsia="zh-CN" w:bidi="ar"/>
              </w:rPr>
              <w:t>0</w:t>
            </w:r>
          </w:p>
        </w:tc>
        <w:tc>
          <w:tcPr>
            <w:tcW w:w="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auto"/>
              <w:rPr>
                <w:color w:val="auto"/>
              </w:rPr>
            </w:pPr>
            <w:r>
              <w:rPr>
                <w:rFonts w:hint="eastAsia"/>
                <w:color w:val="auto"/>
                <w:kern w:val="0"/>
                <w:sz w:val="20"/>
                <w:szCs w:val="20"/>
                <w:lang w:val="en-US" w:eastAsia="zh-CN" w:bidi="ar"/>
              </w:rPr>
              <w:t>0</w:t>
            </w:r>
          </w:p>
        </w:tc>
        <w:tc>
          <w:tcPr>
            <w:tcW w:w="72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auto"/>
              <w:rPr>
                <w:color w:val="auto"/>
              </w:rPr>
            </w:pPr>
            <w:r>
              <w:rPr>
                <w:rFonts w:hint="eastAsia"/>
                <w:color w:val="auto"/>
                <w:kern w:val="0"/>
                <w:sz w:val="20"/>
                <w:szCs w:val="20"/>
                <w:lang w:val="en-US" w:eastAsia="zh-CN" w:bidi="ar"/>
              </w:rPr>
              <w:t>0</w:t>
            </w:r>
          </w:p>
        </w:tc>
        <w:tc>
          <w:tcPr>
            <w:tcW w:w="5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auto"/>
              <w:rPr>
                <w:color w:val="auto"/>
              </w:rPr>
            </w:pPr>
            <w:r>
              <w:rPr>
                <w:rFonts w:hint="eastAsia"/>
                <w:color w:val="auto"/>
                <w:kern w:val="0"/>
                <w:sz w:val="20"/>
                <w:szCs w:val="20"/>
                <w:lang w:val="en-US" w:eastAsia="zh-CN" w:bidi="ar"/>
              </w:rPr>
              <w:t>0</w:t>
            </w:r>
          </w:p>
        </w:tc>
        <w:tc>
          <w:tcPr>
            <w:tcW w:w="69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auto"/>
              <w:rPr>
                <w:color w:val="auto"/>
              </w:rPr>
            </w:pPr>
            <w:r>
              <w:rPr>
                <w:rFonts w:hint="eastAsia"/>
                <w:color w:val="auto"/>
                <w:kern w:val="0"/>
                <w:sz w:val="20"/>
                <w:szCs w:val="20"/>
                <w:lang w:val="en-US" w:eastAsia="zh-CN" w:bidi="ar"/>
              </w:rPr>
              <w:t>0</w:t>
            </w:r>
          </w:p>
        </w:tc>
        <w:tc>
          <w:tcPr>
            <w:tcW w:w="6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auto"/>
              <w:rPr>
                <w:color w:val="auto"/>
              </w:rPr>
            </w:pPr>
            <w:r>
              <w:rPr>
                <w:rFonts w:hint="eastAsia"/>
                <w:color w:val="auto"/>
                <w:kern w:val="0"/>
                <w:sz w:val="20"/>
                <w:szCs w:val="20"/>
                <w:lang w:val="en-US" w:eastAsia="zh-CN" w:bidi="ar"/>
              </w:rPr>
              <w:t>0</w:t>
            </w:r>
          </w:p>
        </w:tc>
        <w:tc>
          <w:tcPr>
            <w:tcW w:w="67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auto"/>
              <w:rPr>
                <w:color w:val="auto"/>
              </w:rPr>
            </w:pPr>
            <w:r>
              <w:rPr>
                <w:rFonts w:hint="eastAsia"/>
                <w:color w:val="auto"/>
                <w:kern w:val="0"/>
                <w:sz w:val="20"/>
                <w:szCs w:val="20"/>
                <w:lang w:val="en-US" w:eastAsia="zh-CN" w:bidi="ar"/>
              </w:rPr>
              <w:t>0</w:t>
            </w:r>
          </w:p>
        </w:tc>
        <w:tc>
          <w:tcPr>
            <w:tcW w:w="6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auto"/>
              <w:rPr>
                <w:color w:val="auto"/>
              </w:rPr>
            </w:pPr>
            <w:r>
              <w:rPr>
                <w:rFonts w:hint="eastAsia"/>
                <w:color w:val="auto"/>
                <w:kern w:val="0"/>
                <w:sz w:val="20"/>
                <w:szCs w:val="20"/>
                <w:lang w:val="en-US" w:eastAsia="zh-CN" w:bidi="ar"/>
              </w:rPr>
              <w:t>0</w:t>
            </w:r>
          </w:p>
        </w:tc>
        <w:tc>
          <w:tcPr>
            <w:tcW w:w="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ind w:left="0" w:leftChars="0" w:firstLine="200" w:firstLineChars="100"/>
              <w:jc w:val="both"/>
              <w:textAlignment w:val="auto"/>
              <w:rPr>
                <w:rFonts w:hint="default" w:eastAsia="方正仿宋_GBK"/>
                <w:color w:val="auto"/>
                <w:sz w:val="24"/>
                <w:lang w:val="en-US" w:eastAsia="zh-CN"/>
              </w:rPr>
            </w:pPr>
            <w:r>
              <w:rPr>
                <w:rFonts w:hint="eastAsia"/>
                <w:color w:val="auto"/>
                <w:kern w:val="0"/>
                <w:sz w:val="20"/>
                <w:szCs w:val="20"/>
                <w:lang w:val="en-US" w:eastAsia="zh-CN" w:bidi="ar"/>
              </w:rPr>
              <w:t>0</w:t>
            </w:r>
          </w:p>
        </w:tc>
      </w:tr>
    </w:tbl>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rPr>
      </w:pPr>
      <w:r>
        <w:rPr>
          <w:rFonts w:hint="eastAsia" w:ascii="仿宋_GB2312" w:hAnsi="仿宋_GB2312" w:eastAsia="仿宋_GB2312" w:cs="仿宋_GB2312"/>
          <w:b w:val="0"/>
          <w:i w:val="0"/>
          <w:caps w:val="0"/>
          <w:color w:val="auto"/>
          <w:spacing w:val="0"/>
          <w:kern w:val="0"/>
          <w:sz w:val="32"/>
          <w:szCs w:val="32"/>
          <w:shd w:val="clear" w:fill="FFFFFF"/>
          <w:lang w:val="en-US" w:eastAsia="zh-CN"/>
        </w:rPr>
        <w:t>目前，我局政府信息公开工作存在的问题：一是公开信息的时效性不够强;二是主动公开政府信息的数量还需要增加，公开的内容需要进一步细化;三是宣传和引导工作需要进一步加强，提升政府信息公开工作的认识程度，满足公众对政府信息的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i w:val="0"/>
          <w:caps w:val="0"/>
          <w:color w:val="auto"/>
          <w:spacing w:val="0"/>
          <w:kern w:val="0"/>
          <w:sz w:val="32"/>
          <w:szCs w:val="32"/>
          <w:shd w:val="clear" w:fill="FFFFFF"/>
        </w:rPr>
        <w:t>结合工作实际，我局将按照要求继续加强</w:t>
      </w:r>
      <w:r>
        <w:rPr>
          <w:rFonts w:hint="eastAsia" w:ascii="仿宋_GB2312" w:hAnsi="仿宋_GB2312" w:eastAsia="仿宋_GB2312" w:cs="仿宋_GB2312"/>
          <w:b w:val="0"/>
          <w:i w:val="0"/>
          <w:caps w:val="0"/>
          <w:color w:val="auto"/>
          <w:spacing w:val="0"/>
          <w:kern w:val="0"/>
          <w:sz w:val="32"/>
          <w:szCs w:val="32"/>
          <w:shd w:val="clear" w:fill="FFFFFF"/>
          <w:lang w:eastAsia="zh-CN"/>
        </w:rPr>
        <w:t>政府</w:t>
      </w:r>
      <w:r>
        <w:rPr>
          <w:rFonts w:hint="eastAsia" w:ascii="仿宋_GB2312" w:hAnsi="仿宋_GB2312" w:eastAsia="仿宋_GB2312" w:cs="仿宋_GB2312"/>
          <w:b w:val="0"/>
          <w:i w:val="0"/>
          <w:caps w:val="0"/>
          <w:color w:val="auto"/>
          <w:spacing w:val="0"/>
          <w:kern w:val="0"/>
          <w:sz w:val="32"/>
          <w:szCs w:val="32"/>
          <w:shd w:val="clear" w:fill="FFFFFF"/>
        </w:rPr>
        <w:t>信息公开工作，规范信息公开程序，加大主动公开力度，</w:t>
      </w:r>
      <w:r>
        <w:rPr>
          <w:rFonts w:hint="eastAsia" w:ascii="仿宋_GB2312" w:hAnsi="仿宋_GB2312" w:eastAsia="仿宋_GB2312" w:cs="仿宋_GB2312"/>
          <w:b w:val="0"/>
          <w:i w:val="0"/>
          <w:caps w:val="0"/>
          <w:color w:val="auto"/>
          <w:spacing w:val="0"/>
          <w:kern w:val="0"/>
          <w:sz w:val="32"/>
          <w:szCs w:val="32"/>
          <w:shd w:val="clear" w:fill="FFFFFF"/>
          <w:lang w:eastAsia="zh-CN"/>
        </w:rPr>
        <w:t>持续</w:t>
      </w:r>
      <w:r>
        <w:rPr>
          <w:rFonts w:hint="eastAsia" w:ascii="仿宋_GB2312" w:hAnsi="仿宋_GB2312" w:eastAsia="仿宋_GB2312" w:cs="仿宋_GB2312"/>
          <w:b w:val="0"/>
          <w:i w:val="0"/>
          <w:caps w:val="0"/>
          <w:color w:val="auto"/>
          <w:spacing w:val="0"/>
          <w:kern w:val="0"/>
          <w:sz w:val="32"/>
          <w:szCs w:val="32"/>
          <w:shd w:val="clear" w:fill="FFFFFF"/>
        </w:rPr>
        <w:t>提高政府信息公开水平。</w:t>
      </w:r>
      <w:r>
        <w:rPr>
          <w:rFonts w:hint="eastAsia" w:ascii="仿宋_GB2312" w:hAnsi="仿宋_GB2312" w:eastAsia="仿宋_GB2312" w:cs="仿宋_GB2312"/>
          <w:b w:val="0"/>
          <w:i w:val="0"/>
          <w:caps w:val="0"/>
          <w:color w:val="auto"/>
          <w:spacing w:val="0"/>
          <w:kern w:val="0"/>
          <w:sz w:val="32"/>
          <w:szCs w:val="32"/>
          <w:shd w:val="clear" w:fill="FFFFFF"/>
          <w:lang w:val="en-US" w:eastAsia="zh-CN"/>
        </w:rPr>
        <w:t>2020年将</w:t>
      </w:r>
      <w:r>
        <w:rPr>
          <w:rFonts w:hint="eastAsia" w:ascii="仿宋_GB2312" w:hAnsi="仿宋_GB2312" w:eastAsia="仿宋_GB2312" w:cs="仿宋_GB2312"/>
          <w:b w:val="0"/>
          <w:i w:val="0"/>
          <w:caps w:val="0"/>
          <w:color w:val="auto"/>
          <w:spacing w:val="0"/>
          <w:kern w:val="0"/>
          <w:sz w:val="32"/>
          <w:szCs w:val="32"/>
          <w:shd w:val="clear" w:fill="FFFFFF"/>
        </w:rPr>
        <w:t>主要做好以下工作：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rPr>
      </w:pPr>
      <w:r>
        <w:rPr>
          <w:rFonts w:hint="eastAsia" w:ascii="仿宋_GB2312" w:hAnsi="仿宋_GB2312" w:eastAsia="仿宋_GB2312" w:cs="仿宋_GB2312"/>
          <w:b/>
          <w:bCs/>
          <w:i w:val="0"/>
          <w:caps w:val="0"/>
          <w:color w:val="auto"/>
          <w:spacing w:val="0"/>
          <w:kern w:val="0"/>
          <w:sz w:val="32"/>
          <w:szCs w:val="32"/>
          <w:shd w:val="clear" w:fill="FFFFFF"/>
          <w:lang w:val="en-US" w:eastAsia="zh-CN"/>
        </w:rPr>
        <w:t>一是</w:t>
      </w:r>
      <w:r>
        <w:rPr>
          <w:rFonts w:hint="eastAsia" w:ascii="仿宋_GB2312" w:hAnsi="仿宋_GB2312" w:eastAsia="仿宋_GB2312" w:cs="仿宋_GB2312"/>
          <w:b w:val="0"/>
          <w:i w:val="0"/>
          <w:caps w:val="0"/>
          <w:color w:val="auto"/>
          <w:spacing w:val="0"/>
          <w:kern w:val="0"/>
          <w:sz w:val="32"/>
          <w:szCs w:val="32"/>
          <w:shd w:val="clear" w:fill="FFFFFF"/>
          <w:lang w:val="en-US" w:eastAsia="zh-CN"/>
        </w:rPr>
        <w:t>加强局信息公开负责部门与机关内部各股室、二级单位之间的联系，及时将各股室、单位生成的信息发布到网上，尽量做到信息生成与发布保持同步。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rPr>
      </w:pPr>
      <w:r>
        <w:rPr>
          <w:rFonts w:hint="eastAsia" w:ascii="仿宋_GB2312" w:hAnsi="仿宋_GB2312" w:eastAsia="仿宋_GB2312" w:cs="仿宋_GB2312"/>
          <w:b/>
          <w:bCs/>
          <w:i w:val="0"/>
          <w:caps w:val="0"/>
          <w:color w:val="auto"/>
          <w:spacing w:val="0"/>
          <w:kern w:val="0"/>
          <w:sz w:val="32"/>
          <w:szCs w:val="32"/>
          <w:shd w:val="clear" w:fill="FFFFFF"/>
          <w:lang w:val="en-US" w:eastAsia="zh-CN"/>
        </w:rPr>
        <w:t>二是</w:t>
      </w:r>
      <w:r>
        <w:rPr>
          <w:rFonts w:hint="eastAsia" w:ascii="仿宋_GB2312" w:hAnsi="仿宋_GB2312" w:eastAsia="仿宋_GB2312" w:cs="仿宋_GB2312"/>
          <w:b w:val="0"/>
          <w:i w:val="0"/>
          <w:caps w:val="0"/>
          <w:color w:val="auto"/>
          <w:spacing w:val="0"/>
          <w:kern w:val="0"/>
          <w:sz w:val="32"/>
          <w:szCs w:val="32"/>
          <w:shd w:val="clear" w:fill="FFFFFF"/>
          <w:lang w:val="en-US" w:eastAsia="zh-CN"/>
        </w:rPr>
        <w:t>进一步解放思想，扩大信息公开的范围，除正式文件外，其他由我局生成的对社会公众有指导或帮助意义的信息也要纳入信息公开的范畴之中予以发布。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rPr>
      </w:pPr>
      <w:r>
        <w:rPr>
          <w:rFonts w:hint="eastAsia" w:ascii="仿宋_GB2312" w:hAnsi="仿宋_GB2312" w:eastAsia="仿宋_GB2312" w:cs="仿宋_GB2312"/>
          <w:b/>
          <w:bCs/>
          <w:i w:val="0"/>
          <w:caps w:val="0"/>
          <w:color w:val="auto"/>
          <w:spacing w:val="0"/>
          <w:kern w:val="0"/>
          <w:sz w:val="32"/>
          <w:szCs w:val="32"/>
          <w:shd w:val="clear" w:fill="FFFFFF"/>
          <w:lang w:val="en-US" w:eastAsia="zh-CN"/>
        </w:rPr>
        <w:t>三是</w:t>
      </w:r>
      <w:r>
        <w:rPr>
          <w:rFonts w:hint="eastAsia" w:ascii="仿宋_GB2312" w:hAnsi="仿宋_GB2312" w:eastAsia="仿宋_GB2312" w:cs="仿宋_GB2312"/>
          <w:b w:val="0"/>
          <w:i w:val="0"/>
          <w:caps w:val="0"/>
          <w:color w:val="auto"/>
          <w:spacing w:val="0"/>
          <w:kern w:val="0"/>
          <w:sz w:val="32"/>
          <w:szCs w:val="32"/>
          <w:shd w:val="clear" w:fill="FFFFFF"/>
          <w:lang w:val="en-US" w:eastAsia="zh-CN"/>
        </w:rPr>
        <w:t>加大对信息公开工作的宣传力度，使社会公众对这项工作有进一步的了解和更深的认识，引导公众正确使用信息公开这种新兴的政府服务职能，为自己的生活、工作提供便利。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rPr>
      </w:pPr>
      <w:r>
        <w:rPr>
          <w:rFonts w:hint="eastAsia" w:ascii="仿宋_GB2312" w:hAnsi="仿宋_GB2312" w:eastAsia="仿宋_GB2312" w:cs="仿宋_GB2312"/>
          <w:b/>
          <w:bCs/>
          <w:i w:val="0"/>
          <w:caps w:val="0"/>
          <w:color w:val="auto"/>
          <w:spacing w:val="0"/>
          <w:kern w:val="0"/>
          <w:sz w:val="32"/>
          <w:szCs w:val="32"/>
          <w:shd w:val="clear" w:fill="FFFFFF"/>
          <w:lang w:val="en-US" w:eastAsia="zh-CN"/>
        </w:rPr>
        <w:t>四是</w:t>
      </w:r>
      <w:r>
        <w:rPr>
          <w:rFonts w:hint="eastAsia" w:ascii="仿宋_GB2312" w:hAnsi="仿宋_GB2312" w:eastAsia="仿宋_GB2312" w:cs="仿宋_GB2312"/>
          <w:b w:val="0"/>
          <w:i w:val="0"/>
          <w:caps w:val="0"/>
          <w:color w:val="auto"/>
          <w:spacing w:val="0"/>
          <w:kern w:val="0"/>
          <w:sz w:val="32"/>
          <w:szCs w:val="32"/>
          <w:shd w:val="clear" w:fill="FFFFFF"/>
          <w:lang w:val="en-US" w:eastAsia="zh-CN"/>
        </w:rPr>
        <w:t>注意借鉴兄弟机关单位的好做法，收集新情况，总结新经验，继续坚持及时处理网上留言、咨询和相关申请工作，认真做好相关记录，做到件件有着落，事事有回音，认真履行政府信息公开工作的各项职责，主动接受社会监督，为广大社会公众服好务。</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0"/>
        <w:jc w:val="both"/>
        <w:textAlignment w:val="auto"/>
        <w:rPr>
          <w:rFonts w:ascii="黑体" w:hAnsi="黑体" w:eastAsia="黑体"/>
          <w:color w:val="auto"/>
          <w:sz w:val="32"/>
          <w:szCs w:val="32"/>
        </w:rPr>
      </w:pPr>
      <w:r>
        <w:rPr>
          <w:rFonts w:ascii="黑体" w:hAnsi="黑体" w:eastAsia="黑体"/>
          <w:color w:val="auto"/>
          <w:sz w:val="32"/>
          <w:szCs w:val="32"/>
        </w:rPr>
        <w:t>六、其他需要报告的事项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无</w:t>
      </w:r>
    </w:p>
    <w:p>
      <w:pPr>
        <w:rPr>
          <w:color w:val="auto"/>
        </w:rPr>
      </w:pPr>
    </w:p>
    <w:p>
      <w:pPr>
        <w:rPr>
          <w:color w:val="auto"/>
        </w:rPr>
      </w:pPr>
    </w:p>
    <w:p>
      <w:pPr>
        <w:jc w:val="righ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罗山县城市管理局</w:t>
      </w:r>
    </w:p>
    <w:p>
      <w:pPr>
        <w:jc w:val="righ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2020年1月17日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3C0041" w:csb1="00000000"/>
  </w:font>
  <w:font w:name="方正小标宋_GBK">
    <w:altName w:val="微软雅黑"/>
    <w:panose1 w:val="03000509000000000000"/>
    <w:charset w:val="86"/>
    <w:family w:val="script"/>
    <w:pitch w:val="default"/>
    <w:sig w:usb0="00000000" w:usb1="00000000" w:usb2="00000010" w:usb3="00000000" w:csb0="00040000"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60" w:wrap="around" w:vAnchor="text" w:hAnchor="margin" w:xAlign="outside" w:y="1"/>
      <w:ind w:firstLine="0" w:firstLineChars="0"/>
      <w:rPr>
        <w:rStyle w:val="9"/>
      </w:rPr>
    </w:pPr>
    <w:r>
      <w:rPr>
        <w:rStyle w:val="9"/>
      </w:rPr>
      <w:t xml:space="preserve">— </w:t>
    </w:r>
    <w:r>
      <w:fldChar w:fldCharType="begin"/>
    </w:r>
    <w:r>
      <w:rPr>
        <w:rStyle w:val="9"/>
      </w:rPr>
      <w:instrText xml:space="preserve">PAGE  </w:instrText>
    </w:r>
    <w:r>
      <w:fldChar w:fldCharType="separate"/>
    </w:r>
    <w:r>
      <w:rPr>
        <w:rStyle w:val="9"/>
      </w:rPr>
      <w:t>15</w:t>
    </w:r>
    <w:r>
      <w:fldChar w:fldCharType="end"/>
    </w:r>
    <w:r>
      <w:rPr>
        <w:rStyle w:val="9"/>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55AB0E"/>
    <w:multiLevelType w:val="singleLevel"/>
    <w:tmpl w:val="E655AB0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9285A"/>
    <w:rsid w:val="0DB217F1"/>
    <w:rsid w:val="14960C04"/>
    <w:rsid w:val="1C3427CC"/>
    <w:rsid w:val="2D7A044E"/>
    <w:rsid w:val="4D324220"/>
    <w:rsid w:val="50BA7055"/>
    <w:rsid w:val="53C64A1B"/>
    <w:rsid w:val="568A22CF"/>
    <w:rsid w:val="59392E55"/>
    <w:rsid w:val="5A2D016B"/>
    <w:rsid w:val="764F76A9"/>
    <w:rsid w:val="76E9285A"/>
    <w:rsid w:val="7BD22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Calibri" w:hAnsi="Calibri" w:eastAsia="方正仿宋_GBK"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tabs>
        <w:tab w:val="center" w:pos="4153"/>
        <w:tab w:val="right" w:pos="8306"/>
      </w:tabs>
      <w:snapToGrid w:val="0"/>
      <w:spacing w:line="240" w:lineRule="atLeast"/>
      <w:jc w:val="center"/>
    </w:pPr>
    <w:rPr>
      <w:sz w:val="18"/>
      <w:szCs w:val="18"/>
    </w:rPr>
  </w:style>
  <w:style w:type="paragraph" w:styleId="4">
    <w:name w:val="toc 1"/>
    <w:basedOn w:val="5"/>
    <w:next w:val="1"/>
    <w:semiHidden/>
    <w:qFormat/>
    <w:uiPriority w:val="0"/>
    <w:pPr>
      <w:widowControl w:val="0"/>
    </w:pPr>
    <w:rPr>
      <w:kern w:val="2"/>
      <w:sz w:val="44"/>
      <w:szCs w:val="44"/>
    </w:rPr>
  </w:style>
  <w:style w:type="paragraph" w:customStyle="1" w:styleId="5">
    <w:name w:val="样式1"/>
    <w:basedOn w:val="1"/>
    <w:qFormat/>
    <w:uiPriority w:val="0"/>
    <w:pPr>
      <w:widowControl/>
      <w:spacing w:line="700" w:lineRule="exact"/>
      <w:ind w:firstLine="0" w:firstLineChars="0"/>
      <w:jc w:val="center"/>
      <w:outlineLvl w:val="0"/>
    </w:pPr>
    <w:rPr>
      <w:rFonts w:eastAsia="方正小标宋_GBK"/>
      <w:kern w:val="0"/>
      <w:sz w:val="40"/>
      <w:szCs w:val="40"/>
    </w:rPr>
  </w:style>
  <w:style w:type="paragraph" w:styleId="6">
    <w:name w:val="Normal (Web)"/>
    <w:basedOn w:val="1"/>
    <w:qFormat/>
    <w:uiPriority w:val="0"/>
    <w:pPr>
      <w:spacing w:before="100" w:beforeAutospacing="1" w:after="100" w:afterAutospacing="1" w:line="580" w:lineRule="atLeast"/>
      <w:jc w:val="left"/>
    </w:pPr>
    <w:rPr>
      <w:snapToGrid w:val="0"/>
      <w:kern w:val="0"/>
      <w:sz w:val="24"/>
      <w:szCs w:val="32"/>
    </w:rPr>
  </w:style>
  <w:style w:type="character" w:styleId="9">
    <w:name w:val="page number"/>
    <w:basedOn w:val="8"/>
    <w:qFormat/>
    <w:uiPriority w:val="0"/>
    <w:rPr>
      <w:rFonts w:ascii="Times New Roman" w:hAnsi="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2020-01-15T09:08:00Z</dcterms:created>
  <dc:creator>亮金晶</dc:creator>
  <cp:lastModifiedBy>亮金晶</cp:lastModifiedBy>
  <cp:lastPrinted>2020-01-17T08:23:33Z</cp:lastPrinted>
  <dcterms:modified xsi:type="dcterms:W3CDTF">2020-01-17T08:33:31Z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