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both"/>
        <w:rPr>
          <w:rFonts w:hint="eastAsia" w:ascii="华文仿宋" w:hAnsi="华文仿宋" w:eastAsia="华文仿宋" w:cs="华文仿宋"/>
          <w:color w:val="333333"/>
          <w:kern w:val="0"/>
          <w:sz w:val="28"/>
          <w:szCs w:val="28"/>
          <w:lang w:val="en-US" w:eastAsia="zh-CN"/>
        </w:rPr>
      </w:pPr>
      <w:r>
        <w:rPr>
          <w:rFonts w:hint="eastAsia" w:ascii="华文仿宋" w:hAnsi="华文仿宋" w:eastAsia="华文仿宋" w:cs="华文仿宋"/>
          <w:color w:val="333333"/>
          <w:kern w:val="0"/>
          <w:sz w:val="28"/>
          <w:szCs w:val="28"/>
          <w:lang w:eastAsia="zh-CN"/>
        </w:rPr>
        <w:t>附件</w:t>
      </w:r>
      <w:r>
        <w:rPr>
          <w:rFonts w:hint="eastAsia" w:ascii="华文仿宋" w:hAnsi="华文仿宋" w:eastAsia="华文仿宋" w:cs="华文仿宋"/>
          <w:color w:val="333333"/>
          <w:kern w:val="0"/>
          <w:sz w:val="28"/>
          <w:szCs w:val="28"/>
          <w:lang w:val="en-US" w:eastAsia="zh-CN"/>
        </w:rPr>
        <w:t>1</w:t>
      </w:r>
    </w:p>
    <w:p>
      <w:pPr>
        <w:widowControl/>
        <w:spacing w:line="590" w:lineRule="exact"/>
        <w:jc w:val="center"/>
        <w:rPr>
          <w:rFonts w:ascii="方正小标宋简体" w:hAnsi="微软雅黑" w:eastAsia="方正小标宋简体" w:cs="宋体"/>
          <w:color w:val="333333"/>
          <w:kern w:val="0"/>
          <w:sz w:val="44"/>
          <w:szCs w:val="44"/>
        </w:rPr>
      </w:pPr>
      <w:r>
        <w:rPr>
          <w:rFonts w:hint="eastAsia" w:ascii="方正小标宋简体" w:hAnsi="微软雅黑" w:eastAsia="方正小标宋简体" w:cs="宋体"/>
          <w:color w:val="333333"/>
          <w:kern w:val="0"/>
          <w:sz w:val="44"/>
          <w:szCs w:val="44"/>
          <w:lang w:eastAsia="zh-CN"/>
        </w:rPr>
        <w:t>河南省</w:t>
      </w:r>
      <w:r>
        <w:rPr>
          <w:rFonts w:hint="eastAsia" w:ascii="方正小标宋简体" w:hAnsi="微软雅黑" w:eastAsia="方正小标宋简体" w:cs="宋体"/>
          <w:color w:val="333333"/>
          <w:kern w:val="0"/>
          <w:sz w:val="44"/>
          <w:szCs w:val="44"/>
        </w:rPr>
        <w:t>动物防疫条件审查场所选址</w:t>
      </w:r>
    </w:p>
    <w:p>
      <w:pPr>
        <w:widowControl/>
        <w:spacing w:line="590" w:lineRule="exact"/>
        <w:jc w:val="center"/>
        <w:rPr>
          <w:rFonts w:hint="eastAsia" w:ascii="方正小标宋简体" w:hAnsi="微软雅黑" w:eastAsia="方正小标宋简体" w:cs="宋体"/>
          <w:color w:val="333333"/>
          <w:kern w:val="0"/>
          <w:sz w:val="44"/>
          <w:szCs w:val="44"/>
          <w:lang w:val="en-US" w:eastAsia="zh-CN"/>
        </w:rPr>
      </w:pPr>
      <w:r>
        <w:rPr>
          <w:rFonts w:hint="eastAsia" w:ascii="方正小标宋简体" w:hAnsi="微软雅黑" w:eastAsia="方正小标宋简体" w:cs="宋体"/>
          <w:color w:val="333333"/>
          <w:kern w:val="0"/>
          <w:sz w:val="44"/>
          <w:szCs w:val="44"/>
        </w:rPr>
        <w:t>风险评估办法</w:t>
      </w:r>
      <w:r>
        <w:rPr>
          <w:rFonts w:hint="eastAsia" w:ascii="方正小标宋简体" w:hAnsi="微软雅黑" w:eastAsia="方正小标宋简体" w:cs="宋体"/>
          <w:color w:val="333333"/>
          <w:kern w:val="0"/>
          <w:sz w:val="44"/>
          <w:szCs w:val="44"/>
          <w:lang w:val="en-US" w:eastAsia="zh-CN"/>
        </w:rPr>
        <w:t>(征求意见稿）</w:t>
      </w:r>
      <w:bookmarkStart w:id="2" w:name="_GoBack"/>
      <w:bookmarkEnd w:id="2"/>
    </w:p>
    <w:p>
      <w:pPr>
        <w:pStyle w:val="7"/>
        <w:shd w:val="clear" w:color="auto" w:fill="FFFFFF"/>
        <w:spacing w:before="0" w:beforeAutospacing="0" w:after="0" w:afterAutospacing="0" w:line="590" w:lineRule="exact"/>
        <w:ind w:firstLine="512" w:firstLineChars="200"/>
        <w:rPr>
          <w:rFonts w:ascii="微软雅黑" w:hAnsi="微软雅黑" w:eastAsia="微软雅黑"/>
          <w:color w:val="333333"/>
          <w:sz w:val="26"/>
          <w:szCs w:val="26"/>
        </w:rPr>
      </w:pPr>
    </w:p>
    <w:p>
      <w:pPr>
        <w:pStyle w:val="7"/>
        <w:shd w:val="clear" w:color="auto" w:fill="FFFFFF"/>
        <w:spacing w:before="0" w:beforeAutospacing="0" w:after="0" w:afterAutospacing="0" w:line="590" w:lineRule="exact"/>
        <w:ind w:firstLine="632" w:firstLineChars="200"/>
        <w:rPr>
          <w:rFonts w:ascii="仿宋_GB2312" w:hAnsi="微软雅黑" w:eastAsia="仿宋_GB2312"/>
          <w:sz w:val="32"/>
          <w:szCs w:val="32"/>
        </w:rPr>
      </w:pPr>
      <w:r>
        <w:rPr>
          <w:rFonts w:hint="eastAsia" w:ascii="仿宋_GB2312" w:hAnsi="微软雅黑" w:eastAsia="仿宋_GB2312"/>
          <w:color w:val="333333"/>
          <w:sz w:val="32"/>
          <w:szCs w:val="32"/>
        </w:rPr>
        <w:t>　</w:t>
      </w:r>
      <w:r>
        <w:rPr>
          <w:rFonts w:hint="eastAsia" w:ascii="仿宋_GB2312" w:hAnsi="微软雅黑" w:eastAsia="仿宋_GB2312"/>
          <w:sz w:val="32"/>
          <w:szCs w:val="32"/>
        </w:rPr>
        <w:t>为适应当前社会发展形势，促进生猪等畜禽养殖业健康发展，根据《动物防疫条件审查办法》（农业部2010年第7号令）《农业农村部关于调整动物防疫条件审查有关规定的通知》（农牧发〔2019〕42号）等有关规定，结合我省实际，制定本办法。</w:t>
      </w:r>
    </w:p>
    <w:p>
      <w:pPr>
        <w:pStyle w:val="7"/>
        <w:shd w:val="clear" w:color="auto" w:fill="FFFFFF"/>
        <w:spacing w:before="0" w:beforeAutospacing="0" w:after="0" w:afterAutospacing="0" w:line="590" w:lineRule="exact"/>
        <w:ind w:firstLine="632" w:firstLineChars="200"/>
        <w:rPr>
          <w:rFonts w:ascii="黑体" w:hAnsi="黑体" w:eastAsia="黑体"/>
          <w:color w:val="333333"/>
          <w:sz w:val="32"/>
          <w:szCs w:val="32"/>
        </w:rPr>
      </w:pPr>
      <w:r>
        <w:rPr>
          <w:rFonts w:hint="eastAsia" w:ascii="黑体" w:hAnsi="黑体" w:eastAsia="黑体"/>
          <w:color w:val="333333"/>
          <w:sz w:val="32"/>
          <w:szCs w:val="32"/>
        </w:rPr>
        <w:t>　</w:t>
      </w:r>
      <w:r>
        <w:rPr>
          <w:rStyle w:val="10"/>
          <w:rFonts w:hint="eastAsia" w:ascii="黑体" w:hAnsi="黑体" w:eastAsia="黑体"/>
          <w:color w:val="333333"/>
          <w:sz w:val="32"/>
          <w:szCs w:val="32"/>
        </w:rPr>
        <w:t>一、评估范围</w:t>
      </w:r>
    </w:p>
    <w:p>
      <w:pPr>
        <w:pStyle w:val="7"/>
        <w:shd w:val="clear" w:color="auto" w:fill="FFFFFF"/>
        <w:spacing w:before="0" w:beforeAutospacing="0" w:after="0" w:afterAutospacing="0" w:line="590" w:lineRule="exact"/>
        <w:ind w:firstLine="512" w:firstLineChars="200"/>
        <w:rPr>
          <w:rFonts w:ascii="仿宋_GB2312" w:hAnsi="微软雅黑" w:eastAsia="仿宋_GB2312"/>
          <w:sz w:val="32"/>
          <w:szCs w:val="32"/>
        </w:rPr>
      </w:pPr>
      <w:r>
        <w:rPr>
          <w:rFonts w:hint="eastAsia" w:ascii="微软雅黑" w:hAnsi="微软雅黑" w:eastAsia="微软雅黑"/>
          <w:color w:val="333333"/>
          <w:sz w:val="26"/>
          <w:szCs w:val="26"/>
        </w:rPr>
        <w:t>　</w:t>
      </w:r>
      <w:r>
        <w:rPr>
          <w:rFonts w:hint="eastAsia" w:ascii="仿宋_GB2312" w:hAnsi="微软雅黑" w:eastAsia="仿宋_GB2312"/>
          <w:sz w:val="32"/>
          <w:szCs w:val="32"/>
        </w:rPr>
        <w:t>在河南省境内兴办动物饲养场、养殖小区、动物隔离场所、动物屠宰加工场所以及动物和动物产品无害化处理场，申请办理《动物防疫条件合格证》但选址距离达不到《动物防疫条件审查办法》要求的，风险评估活动适用本办法。已取得《动物防疫条件合格证》的场所无需重新评估。2019年12月18日前已受理申请但未发证的仍按《动物防疫条件审查办法》的规定审查。</w:t>
      </w:r>
    </w:p>
    <w:p>
      <w:pPr>
        <w:pStyle w:val="7"/>
        <w:shd w:val="clear" w:color="auto" w:fill="FFFFFF"/>
        <w:spacing w:before="0" w:beforeAutospacing="0" w:after="0" w:afterAutospacing="0" w:line="590" w:lineRule="exact"/>
        <w:ind w:firstLine="632" w:firstLineChars="200"/>
        <w:rPr>
          <w:rFonts w:ascii="黑体" w:hAnsi="黑体" w:eastAsia="黑体"/>
          <w:color w:val="333333"/>
          <w:sz w:val="32"/>
          <w:szCs w:val="32"/>
        </w:rPr>
      </w:pPr>
      <w:r>
        <w:rPr>
          <w:rFonts w:hint="eastAsia" w:ascii="黑体" w:hAnsi="黑体" w:eastAsia="黑体"/>
          <w:b/>
          <w:bCs/>
          <w:sz w:val="32"/>
          <w:szCs w:val="32"/>
        </w:rPr>
        <w:t>二、评估原则</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（一）有效阻断动物疫病传播。</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（二）谁发证谁组织评估。</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（三）提倡建设前评估。</w:t>
      </w:r>
    </w:p>
    <w:p>
      <w:pPr>
        <w:pStyle w:val="7"/>
        <w:shd w:val="clear" w:color="auto" w:fill="FFFFFF"/>
        <w:spacing w:before="0" w:beforeAutospacing="0" w:after="0" w:afterAutospacing="0" w:line="590" w:lineRule="exact"/>
        <w:ind w:firstLine="632" w:firstLineChars="200"/>
        <w:rPr>
          <w:rFonts w:ascii="黑体" w:hAnsi="黑体" w:eastAsia="黑体"/>
          <w:color w:val="333333"/>
          <w:sz w:val="32"/>
          <w:szCs w:val="32"/>
        </w:rPr>
      </w:pPr>
      <w:r>
        <w:rPr>
          <w:rFonts w:hint="eastAsia" w:ascii="黑体" w:hAnsi="黑体" w:eastAsia="黑体"/>
          <w:b/>
          <w:bCs/>
          <w:sz w:val="32"/>
          <w:szCs w:val="32"/>
        </w:rPr>
        <w:t>三、评估内容</w:t>
      </w:r>
    </w:p>
    <w:p>
      <w:pPr>
        <w:pStyle w:val="7"/>
        <w:shd w:val="clear" w:color="auto" w:fill="FFFFFF"/>
        <w:spacing w:before="0" w:beforeAutospacing="0" w:after="0" w:afterAutospacing="0" w:line="590" w:lineRule="exact"/>
        <w:ind w:firstLine="632" w:firstLineChars="200"/>
        <w:rPr>
          <w:rFonts w:ascii="楷体_GB2312" w:hAnsi="微软雅黑" w:eastAsia="楷体_GB2312"/>
          <w:b/>
          <w:color w:val="333333"/>
          <w:sz w:val="32"/>
          <w:szCs w:val="32"/>
        </w:rPr>
      </w:pPr>
      <w:r>
        <w:rPr>
          <w:rFonts w:hint="eastAsia" w:ascii="楷体_GB2312" w:hAnsi="微软雅黑" w:eastAsia="楷体_GB2312"/>
          <w:b/>
          <w:color w:val="333333"/>
          <w:sz w:val="32"/>
          <w:szCs w:val="32"/>
        </w:rPr>
        <w:t>（一）评估要素</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根据场所周边的天然屏障、人工屏障、饲养环境、动物分布等情况，以及行政区划，动物疫病的发生、流行状况等因素实施风险评估，根据评估结果确认选址是否符合防疫条件。</w:t>
      </w:r>
    </w:p>
    <w:p>
      <w:pPr>
        <w:pStyle w:val="7"/>
        <w:shd w:val="clear" w:color="auto" w:fill="FFFFFF"/>
        <w:spacing w:before="0" w:beforeAutospacing="0" w:after="0" w:afterAutospacing="0" w:line="590" w:lineRule="exact"/>
        <w:ind w:firstLine="632" w:firstLineChars="200"/>
        <w:rPr>
          <w:rFonts w:ascii="楷体_GB2312" w:hAnsi="微软雅黑" w:eastAsia="楷体_GB2312"/>
          <w:b/>
          <w:color w:val="333333"/>
          <w:sz w:val="32"/>
          <w:szCs w:val="32"/>
        </w:rPr>
      </w:pPr>
      <w:r>
        <w:rPr>
          <w:rFonts w:hint="eastAsia" w:ascii="楷体_GB2312" w:hAnsi="微软雅黑" w:eastAsia="楷体_GB2312"/>
          <w:b/>
          <w:color w:val="333333"/>
          <w:sz w:val="32"/>
          <w:szCs w:val="32"/>
        </w:rPr>
        <w:t>（二）评估要点</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1、动物饲养场、养殖小区、动物隔离场所在生活饮用水一级水源保护区，风景名胜区的核心景区，以及自然保护区的核心区和缓冲区，城镇居民区、文化教育科学研究区等人口集中区域等畜禽养殖禁养区内的，不予评估。</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2、动物饲养场、养殖小区、动物隔离场所选址侧重于防范病原微生物的传入和各场之间的相互传染。距离生活饮用水源地、</w:t>
      </w:r>
      <w:r>
        <w:rPr>
          <w:rFonts w:hint="eastAsia" w:ascii="仿宋_GB2312" w:hAnsi="微软雅黑" w:eastAsia="仿宋_GB2312"/>
          <w:sz w:val="32"/>
          <w:szCs w:val="32"/>
        </w:rPr>
        <w:t>交通</w:t>
      </w:r>
      <w:r>
        <w:rPr>
          <w:rFonts w:hint="eastAsia" w:ascii="仿宋_GB2312" w:hAnsi="微软雅黑" w:eastAsia="仿宋_GB2312"/>
          <w:color w:val="333333"/>
          <w:sz w:val="32"/>
          <w:szCs w:val="32"/>
        </w:rPr>
        <w:t>主干道、动物屠宰加工场、动物和动物产品无害化处理场、活畜禽交易市场及其他养殖场所等相关场所不足500米的，要有自然屏障或人工屏障，配套与防疫需要相对应的隔断设施，以及与其规模相适应的清洗消毒等设施。</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3、动物屠宰加工场侧重于防范病原微生物传出。距离生活饮用水源地、动物饲养场、养殖小区、动物集贸市场等场所不足500米的，要有自然屏障或人工屏障，配套与防疫需要相对应的隔断设施，以及与其规模相适应的车辆清洗消毒及污水处理等设施。</w:t>
      </w:r>
    </w:p>
    <w:p>
      <w:pPr>
        <w:pStyle w:val="7"/>
        <w:shd w:val="clear" w:color="auto" w:fill="FFFFFF"/>
        <w:spacing w:before="0" w:beforeAutospacing="0" w:after="0" w:afterAutospacing="0" w:line="590" w:lineRule="exact"/>
        <w:ind w:firstLine="569" w:firstLineChars="180"/>
        <w:rPr>
          <w:rFonts w:ascii="仿宋_GB2312" w:hAnsi="微软雅黑" w:eastAsia="仿宋_GB2312"/>
          <w:color w:val="333333"/>
          <w:sz w:val="32"/>
          <w:szCs w:val="32"/>
        </w:rPr>
      </w:pPr>
      <w:r>
        <w:rPr>
          <w:rFonts w:hint="eastAsia" w:ascii="仿宋_GB2312" w:hAnsi="微软雅黑" w:eastAsia="仿宋_GB2312"/>
          <w:color w:val="333333"/>
          <w:sz w:val="32"/>
          <w:szCs w:val="32"/>
        </w:rPr>
        <w:t>4、动物和动物产品无害化处理场侧重于防范病原微生物的传出及对周边环境的影响。距离生活饮用水源地、动物饲养场、养殖小区、动物隔离场、动物屠宰加工场、活畜禽交易市场等场所不足1000米的，要有自然屏障或人工屏障，配套与防疫需要相对应的隔断设施，以及与其规模相适应的车辆清洗消毒等设施。</w:t>
      </w:r>
    </w:p>
    <w:p>
      <w:pPr>
        <w:pStyle w:val="7"/>
        <w:shd w:val="clear" w:color="auto" w:fill="FFFFFF"/>
        <w:spacing w:before="0" w:beforeAutospacing="0" w:after="0" w:afterAutospacing="0" w:line="590" w:lineRule="exact"/>
        <w:ind w:firstLine="632" w:firstLineChars="200"/>
        <w:rPr>
          <w:rFonts w:ascii="黑体" w:hAnsi="黑体" w:eastAsia="黑体"/>
          <w:color w:val="333333"/>
          <w:sz w:val="32"/>
          <w:szCs w:val="32"/>
        </w:rPr>
      </w:pPr>
      <w:r>
        <w:rPr>
          <w:rFonts w:hint="eastAsia" w:ascii="黑体" w:hAnsi="黑体" w:eastAsia="黑体"/>
          <w:b/>
          <w:bCs/>
          <w:sz w:val="32"/>
          <w:szCs w:val="32"/>
        </w:rPr>
        <w:t>四、评估的程序</w:t>
      </w:r>
    </w:p>
    <w:p>
      <w:pPr>
        <w:pStyle w:val="7"/>
        <w:shd w:val="clear" w:color="auto" w:fill="FFFFFF"/>
        <w:spacing w:before="0" w:beforeAutospacing="0" w:after="0" w:afterAutospacing="0" w:line="590" w:lineRule="exact"/>
        <w:ind w:firstLine="632" w:firstLineChars="200"/>
        <w:rPr>
          <w:rFonts w:ascii="楷体_GB2312" w:hAnsi="微软雅黑" w:eastAsia="楷体_GB2312"/>
          <w:b/>
          <w:color w:val="333333"/>
          <w:sz w:val="32"/>
          <w:szCs w:val="32"/>
        </w:rPr>
      </w:pPr>
      <w:r>
        <w:rPr>
          <w:rFonts w:hint="eastAsia" w:ascii="楷体_GB2312" w:hAnsi="微软雅黑" w:eastAsia="楷体_GB2312"/>
          <w:b/>
          <w:color w:val="333333"/>
          <w:sz w:val="32"/>
          <w:szCs w:val="32"/>
        </w:rPr>
        <w:t>（一）评估主体</w:t>
      </w:r>
    </w:p>
    <w:p>
      <w:pPr>
        <w:pStyle w:val="7"/>
        <w:shd w:val="clear" w:color="auto" w:fill="FFFFFF"/>
        <w:spacing w:before="0" w:beforeAutospacing="0" w:after="0" w:afterAutospacing="0" w:line="590" w:lineRule="exact"/>
        <w:ind w:firstLine="632" w:firstLineChars="200"/>
        <w:rPr>
          <w:rFonts w:ascii="仿宋_GB2312" w:hAnsi="微软雅黑" w:eastAsia="仿宋_GB2312"/>
          <w:sz w:val="32"/>
          <w:szCs w:val="32"/>
        </w:rPr>
      </w:pPr>
      <w:r>
        <w:rPr>
          <w:rFonts w:hint="eastAsia" w:ascii="仿宋_GB2312" w:hAnsi="微软雅黑" w:eastAsia="仿宋_GB2312"/>
          <w:sz w:val="32"/>
          <w:szCs w:val="32"/>
        </w:rPr>
        <w:t>受理《动物防疫条件合格证》申请的县级或县级以上农业农村行政主管部门负责组织评估。</w:t>
      </w:r>
    </w:p>
    <w:p>
      <w:pPr>
        <w:pStyle w:val="7"/>
        <w:shd w:val="clear" w:color="auto" w:fill="FFFFFF"/>
        <w:spacing w:before="0" w:beforeAutospacing="0" w:after="0" w:afterAutospacing="0" w:line="590" w:lineRule="exact"/>
        <w:ind w:firstLine="632" w:firstLineChars="200"/>
        <w:rPr>
          <w:rFonts w:ascii="楷体_GB2312" w:hAnsi="微软雅黑" w:eastAsia="楷体_GB2312"/>
          <w:b/>
          <w:color w:val="333333"/>
          <w:sz w:val="32"/>
          <w:szCs w:val="32"/>
        </w:rPr>
      </w:pPr>
      <w:r>
        <w:rPr>
          <w:rFonts w:hint="eastAsia" w:ascii="楷体_GB2312" w:hAnsi="微软雅黑" w:eastAsia="楷体_GB2312"/>
          <w:b/>
          <w:color w:val="333333"/>
          <w:sz w:val="32"/>
          <w:szCs w:val="32"/>
        </w:rPr>
        <w:t>（二）评估专家组成</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县级或县级以上农业农村部门组织评估专家组，有条件的成立专家库，每次从库中抽取专家，县级项目评估专家组人数3人以上奇数，1人任组长，实行组长负责制。专家需具有畜牧兽医相关专业中级以上技术职称（或畜牧兽医相关专业大专以上学历、或从事动物卫生监督、畜牧兽医行政管理、疫病预防控制、屠宰行业管理等相关工作满5年）。</w:t>
      </w:r>
    </w:p>
    <w:p>
      <w:pPr>
        <w:pStyle w:val="7"/>
        <w:shd w:val="clear" w:color="auto" w:fill="FFFFFF"/>
        <w:spacing w:before="0" w:beforeAutospacing="0" w:after="0" w:afterAutospacing="0" w:line="590" w:lineRule="exact"/>
        <w:ind w:firstLine="632" w:firstLineChars="200"/>
        <w:rPr>
          <w:rFonts w:ascii="楷体_GB2312" w:hAnsi="微软雅黑" w:eastAsia="楷体_GB2312"/>
          <w:b/>
          <w:color w:val="333333"/>
          <w:sz w:val="32"/>
          <w:szCs w:val="32"/>
        </w:rPr>
      </w:pPr>
      <w:r>
        <w:rPr>
          <w:rFonts w:hint="eastAsia" w:ascii="楷体_GB2312" w:hAnsi="微软雅黑" w:eastAsia="楷体_GB2312"/>
          <w:b/>
          <w:color w:val="333333"/>
          <w:sz w:val="32"/>
          <w:szCs w:val="32"/>
        </w:rPr>
        <w:t>（三）评估工作程序</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　1、相关场所申请人提出评估申请，提供评估内容涉及的相关材料（详见附表1）。</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　2、县级或县级以上农业农村部门组织专家组开展评审。对场所项目已完工的，可与动物防疫条件审查合并进行。</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　3、专家组审核相关材料，按照《河南省动物防疫条件审查场所选址风险评估表》到现场逐项评审。</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　4、专家组综合评价，得出评估结果。</w:t>
      </w:r>
    </w:p>
    <w:p>
      <w:pPr>
        <w:pStyle w:val="7"/>
        <w:shd w:val="clear" w:color="auto" w:fill="FFFFFF"/>
        <w:spacing w:before="0" w:beforeAutospacing="0" w:after="0" w:afterAutospacing="0" w:line="590" w:lineRule="exact"/>
        <w:ind w:firstLine="632" w:firstLineChars="200"/>
        <w:rPr>
          <w:rFonts w:ascii="楷体_GB2312" w:hAnsi="微软雅黑" w:eastAsia="楷体_GB2312"/>
          <w:b/>
          <w:color w:val="333333"/>
          <w:sz w:val="32"/>
          <w:szCs w:val="32"/>
        </w:rPr>
      </w:pPr>
      <w:r>
        <w:rPr>
          <w:rFonts w:hint="eastAsia" w:ascii="楷体_GB2312" w:hAnsi="微软雅黑" w:eastAsia="楷体_GB2312"/>
          <w:b/>
          <w:color w:val="333333"/>
          <w:sz w:val="32"/>
          <w:szCs w:val="32"/>
        </w:rPr>
        <w:t>（四）评估结果</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专家组综合评估分值在80分以上（含80分）的，评估结论为“通过”。达不到80分的，但通过改进设施条件能达到的，本着服务群众的原则，由专家提出整改意见，申请方同意并承诺实施的，评估结论为“整改”。整改期限为6个月，整改措施得到落实后，经专家组确认合格后视同评估“通过”。其他为“不通过”。最后，经组织评估的部门审核，得出“同意通过选址风险评估”或“不同意通过选址风险评估”的意见。</w:t>
      </w:r>
    </w:p>
    <w:p>
      <w:pPr>
        <w:pStyle w:val="7"/>
        <w:shd w:val="clear" w:color="auto" w:fill="FFFFFF"/>
        <w:spacing w:before="0" w:beforeAutospacing="0" w:after="0" w:afterAutospacing="0" w:line="590" w:lineRule="exact"/>
        <w:ind w:firstLine="632" w:firstLineChars="200"/>
        <w:rPr>
          <w:rFonts w:ascii="楷体_GB2312" w:hAnsi="微软雅黑" w:eastAsia="楷体_GB2312"/>
          <w:b/>
          <w:color w:val="333333"/>
          <w:sz w:val="32"/>
          <w:szCs w:val="32"/>
        </w:rPr>
      </w:pPr>
      <w:r>
        <w:rPr>
          <w:rFonts w:hint="eastAsia" w:ascii="楷体_GB2312" w:hAnsi="微软雅黑" w:eastAsia="楷体_GB2312"/>
          <w:b/>
          <w:color w:val="333333"/>
          <w:sz w:val="32"/>
          <w:szCs w:val="32"/>
        </w:rPr>
        <w:t>（五）评估工作时限</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评估单位从收到申请人齐全的申请材料起，10个工作日内组织完成评估工作（不计整改时间），出具评估意见，并告知申请人。</w:t>
      </w:r>
    </w:p>
    <w:p>
      <w:pPr>
        <w:pStyle w:val="7"/>
        <w:shd w:val="clear" w:color="auto" w:fill="FFFFFF"/>
        <w:spacing w:before="0" w:beforeAutospacing="0" w:after="0" w:afterAutospacing="0" w:line="590" w:lineRule="exact"/>
        <w:ind w:firstLine="632" w:firstLineChars="200"/>
        <w:rPr>
          <w:rFonts w:ascii="黑体" w:hAnsi="黑体" w:eastAsia="黑体"/>
          <w:color w:val="333333"/>
          <w:sz w:val="32"/>
          <w:szCs w:val="32"/>
        </w:rPr>
      </w:pPr>
      <w:r>
        <w:rPr>
          <w:rFonts w:hint="eastAsia" w:ascii="黑体" w:hAnsi="黑体" w:eastAsia="黑体"/>
          <w:b/>
          <w:bCs/>
          <w:sz w:val="32"/>
          <w:szCs w:val="32"/>
        </w:rPr>
        <w:t>五、结果运用</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评估结果仅作为满足选址距离要求的要素，有关布局、设施、人员等要素仍执行《动物防疫条件审查办法》相关要求。</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本办法自印发之日起施行。</w:t>
      </w:r>
    </w:p>
    <w:p>
      <w:pPr>
        <w:pStyle w:val="7"/>
        <w:shd w:val="clear" w:color="auto" w:fill="FFFFFF"/>
        <w:spacing w:before="0" w:beforeAutospacing="0" w:after="0" w:afterAutospacing="0" w:line="590" w:lineRule="exact"/>
        <w:rPr>
          <w:rFonts w:ascii="仿宋_GB2312" w:hAnsi="微软雅黑" w:eastAsia="仿宋_GB2312"/>
          <w:color w:val="333333"/>
          <w:sz w:val="32"/>
          <w:szCs w:val="32"/>
        </w:rPr>
      </w:pPr>
      <w:r>
        <w:rPr>
          <w:rFonts w:hint="eastAsia" w:ascii="仿宋_GB2312" w:hAnsi="微软雅黑" w:eastAsia="仿宋_GB2312"/>
          <w:color w:val="333333"/>
          <w:sz w:val="32"/>
          <w:szCs w:val="32"/>
        </w:rPr>
        <w:t>附表：1、河南省动物防疫条件审查场所选址风险评估申请表</w:t>
      </w:r>
    </w:p>
    <w:p>
      <w:pPr>
        <w:pStyle w:val="7"/>
        <w:shd w:val="clear" w:color="auto" w:fill="FFFFFF"/>
        <w:spacing w:before="0" w:beforeAutospacing="0" w:after="0" w:afterAutospacing="0" w:line="590" w:lineRule="exact"/>
        <w:ind w:firstLine="632"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　2、河南省动物防疫条件审查场所选址风险评估表</w:t>
      </w:r>
    </w:p>
    <w:p>
      <w:pPr>
        <w:spacing w:line="590" w:lineRule="exact"/>
        <w:ind w:firstLine="412" w:firstLineChars="200"/>
        <w:jc w:val="left"/>
      </w:pPr>
    </w:p>
    <w:p>
      <w:pPr>
        <w:spacing w:line="590" w:lineRule="exact"/>
        <w:rPr>
          <w:rFonts w:ascii="黑体" w:hAnsi="黑体" w:eastAsia="黑体" w:cs="黑体"/>
          <w:sz w:val="32"/>
          <w:szCs w:val="32"/>
        </w:rPr>
      </w:pPr>
      <w:bookmarkStart w:id="0" w:name="Content"/>
      <w:bookmarkEnd w:id="0"/>
      <w:r>
        <w:rPr>
          <w:rFonts w:hint="eastAsia" w:ascii="黑体" w:hAnsi="黑体" w:eastAsia="黑体" w:cs="黑体"/>
          <w:sz w:val="32"/>
          <w:szCs w:val="32"/>
        </w:rPr>
        <w:t>附表1：</w:t>
      </w:r>
    </w:p>
    <w:p>
      <w:pPr>
        <w:spacing w:line="590" w:lineRule="exact"/>
        <w:rPr>
          <w:rFonts w:ascii="黑体" w:hAnsi="黑体" w:eastAsia="黑体" w:cs="黑体"/>
          <w:sz w:val="32"/>
          <w:szCs w:val="32"/>
        </w:rPr>
      </w:pPr>
    </w:p>
    <w:p>
      <w:pPr>
        <w:spacing w:line="59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河南省动物防疫条件审查场所选址风险评估</w:t>
      </w:r>
    </w:p>
    <w:p>
      <w:pPr>
        <w:spacing w:line="59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  请  表</w:t>
      </w:r>
    </w:p>
    <w:p>
      <w:pPr>
        <w:spacing w:line="590" w:lineRule="exact"/>
        <w:rPr>
          <w:rFonts w:ascii="方正小标宋简体" w:hAnsi="方正小标宋简体" w:eastAsia="方正小标宋简体" w:cs="方正小标宋简体"/>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3018"/>
        <w:gridCol w:w="1244"/>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5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3018" w:type="dxa"/>
            <w:vAlign w:val="center"/>
          </w:tcPr>
          <w:p>
            <w:pPr>
              <w:spacing w:line="320" w:lineRule="exact"/>
              <w:jc w:val="center"/>
              <w:rPr>
                <w:rFonts w:ascii="仿宋_GB2312" w:hAnsi="仿宋_GB2312" w:eastAsia="仿宋_GB2312" w:cs="仿宋_GB2312"/>
                <w:sz w:val="24"/>
                <w:szCs w:val="24"/>
              </w:rPr>
            </w:pPr>
          </w:p>
        </w:tc>
        <w:tc>
          <w:tcPr>
            <w:tcW w:w="1244"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设计规模</w:t>
            </w:r>
          </w:p>
        </w:tc>
        <w:tc>
          <w:tcPr>
            <w:tcW w:w="2428" w:type="dxa"/>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项目地址</w:t>
            </w:r>
          </w:p>
        </w:tc>
        <w:tc>
          <w:tcPr>
            <w:tcW w:w="3018" w:type="dxa"/>
            <w:vMerge w:val="restart"/>
            <w:vAlign w:val="center"/>
          </w:tcPr>
          <w:p>
            <w:pPr>
              <w:spacing w:line="320" w:lineRule="exact"/>
              <w:jc w:val="center"/>
              <w:rPr>
                <w:rFonts w:ascii="仿宋_GB2312" w:hAnsi="仿宋_GB2312" w:eastAsia="仿宋_GB2312" w:cs="仿宋_GB2312"/>
                <w:sz w:val="24"/>
                <w:szCs w:val="24"/>
              </w:rPr>
            </w:pPr>
          </w:p>
        </w:tc>
        <w:tc>
          <w:tcPr>
            <w:tcW w:w="1244"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负责人</w:t>
            </w:r>
          </w:p>
        </w:tc>
        <w:tc>
          <w:tcPr>
            <w:tcW w:w="2428" w:type="dxa"/>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vMerge w:val="continue"/>
            <w:vAlign w:val="center"/>
          </w:tcPr>
          <w:p>
            <w:pPr>
              <w:spacing w:line="320" w:lineRule="exact"/>
              <w:jc w:val="center"/>
              <w:rPr>
                <w:rFonts w:ascii="仿宋_GB2312" w:hAnsi="仿宋_GB2312" w:eastAsia="仿宋_GB2312" w:cs="仿宋_GB2312"/>
                <w:sz w:val="24"/>
                <w:szCs w:val="24"/>
              </w:rPr>
            </w:pPr>
          </w:p>
        </w:tc>
        <w:tc>
          <w:tcPr>
            <w:tcW w:w="3018" w:type="dxa"/>
            <w:vMerge w:val="continue"/>
            <w:vAlign w:val="center"/>
          </w:tcPr>
          <w:p>
            <w:pPr>
              <w:spacing w:line="320" w:lineRule="exact"/>
              <w:jc w:val="center"/>
              <w:rPr>
                <w:rFonts w:ascii="仿宋_GB2312" w:hAnsi="仿宋_GB2312" w:eastAsia="仿宋_GB2312" w:cs="仿宋_GB2312"/>
                <w:sz w:val="24"/>
                <w:szCs w:val="24"/>
              </w:rPr>
            </w:pPr>
          </w:p>
        </w:tc>
        <w:tc>
          <w:tcPr>
            <w:tcW w:w="1244"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428" w:type="dxa"/>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vMerge w:val="continue"/>
            <w:vAlign w:val="center"/>
          </w:tcPr>
          <w:p>
            <w:pPr>
              <w:spacing w:line="320" w:lineRule="exact"/>
              <w:jc w:val="center"/>
              <w:rPr>
                <w:rFonts w:ascii="仿宋_GB2312" w:hAnsi="仿宋_GB2312" w:eastAsia="仿宋_GB2312" w:cs="仿宋_GB2312"/>
                <w:sz w:val="24"/>
                <w:szCs w:val="24"/>
              </w:rPr>
            </w:pPr>
          </w:p>
        </w:tc>
        <w:tc>
          <w:tcPr>
            <w:tcW w:w="3018" w:type="dxa"/>
            <w:vMerge w:val="continue"/>
            <w:vAlign w:val="center"/>
          </w:tcPr>
          <w:p>
            <w:pPr>
              <w:spacing w:line="320" w:lineRule="exact"/>
              <w:jc w:val="center"/>
              <w:rPr>
                <w:rFonts w:ascii="仿宋_GB2312" w:hAnsi="仿宋_GB2312" w:eastAsia="仿宋_GB2312" w:cs="仿宋_GB2312"/>
                <w:sz w:val="24"/>
                <w:szCs w:val="24"/>
              </w:rPr>
            </w:pPr>
          </w:p>
        </w:tc>
        <w:tc>
          <w:tcPr>
            <w:tcW w:w="1244"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传真号码</w:t>
            </w:r>
          </w:p>
        </w:tc>
        <w:tc>
          <w:tcPr>
            <w:tcW w:w="2428" w:type="dxa"/>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3018" w:type="dxa"/>
            <w:vAlign w:val="center"/>
          </w:tcPr>
          <w:p>
            <w:pPr>
              <w:spacing w:line="320" w:lineRule="exact"/>
              <w:jc w:val="center"/>
              <w:rPr>
                <w:rFonts w:ascii="仿宋_GB2312" w:hAnsi="仿宋_GB2312" w:eastAsia="仿宋_GB2312" w:cs="仿宋_GB2312"/>
                <w:sz w:val="24"/>
                <w:szCs w:val="24"/>
              </w:rPr>
            </w:pPr>
          </w:p>
        </w:tc>
        <w:tc>
          <w:tcPr>
            <w:tcW w:w="1244"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428" w:type="dxa"/>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申请场所类别</w:t>
            </w:r>
          </w:p>
        </w:tc>
        <w:tc>
          <w:tcPr>
            <w:tcW w:w="6690" w:type="dxa"/>
            <w:gridSpan w:val="3"/>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□饲养场    □养殖小区  □动物隔离场所  </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□动物屠宰加工场        □动物和动物产品无害化处理场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0" w:type="dxa"/>
            <w:vAlign w:val="center"/>
          </w:tcPr>
          <w:p>
            <w:pPr>
              <w:spacing w:line="320" w:lineRule="exact"/>
              <w:jc w:val="center"/>
              <w:rPr>
                <w:rFonts w:ascii="黑体" w:hAnsi="黑体" w:eastAsia="黑体" w:cs="黑体"/>
                <w:color w:val="000000"/>
                <w:sz w:val="24"/>
                <w:szCs w:val="24"/>
              </w:rPr>
            </w:pPr>
            <w:r>
              <w:rPr>
                <w:rFonts w:hint="eastAsia" w:ascii="仿宋_GB2312" w:hAnsi="仿宋_GB2312" w:eastAsia="仿宋_GB2312" w:cs="仿宋_GB2312"/>
                <w:sz w:val="24"/>
                <w:szCs w:val="24"/>
              </w:rPr>
              <w:t>提供材料清单</w:t>
            </w:r>
          </w:p>
        </w:tc>
        <w:tc>
          <w:tcPr>
            <w:tcW w:w="669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□1.拟（已）建场所所在县地图（标注场所具体地址及经纬度、禁养区分布）</w:t>
            </w:r>
          </w:p>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□2.拟（已）建场所</w:t>
            </w:r>
            <w:r>
              <w:rPr>
                <w:rFonts w:ascii="仿宋_GB2312" w:hAnsi="仿宋_GB2312" w:eastAsia="仿宋_GB2312" w:cs="仿宋_GB2312"/>
                <w:sz w:val="24"/>
                <w:szCs w:val="24"/>
              </w:rPr>
              <w:t>各功能区布局平面图</w:t>
            </w:r>
          </w:p>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□3.拟（已）建场所及周边地图（标明周边半径3公里内自然屏障、道路、畜禽分布及数量情况；标明以上5种场所的分布情况以及距离；标注周边居民、工业区、活畜禽交易市场、水源保护地分布及距离）</w:t>
            </w:r>
          </w:p>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□4.设施设备、相关工艺简况（突出生物安全方面）</w:t>
            </w:r>
          </w:p>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□5.生物安全管理相关制度</w:t>
            </w:r>
          </w:p>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□6.其它材料</w:t>
            </w:r>
          </w:p>
          <w:p>
            <w:pPr>
              <w:spacing w:line="320" w:lineRule="exact"/>
              <w:jc w:val="left"/>
              <w:rPr>
                <w:rFonts w:ascii="仿宋_GB2312" w:hAnsi="仿宋_GB2312" w:eastAsia="仿宋_GB2312" w:cs="仿宋_GB2312"/>
                <w:sz w:val="24"/>
                <w:szCs w:val="24"/>
              </w:rPr>
            </w:pPr>
          </w:p>
        </w:tc>
      </w:tr>
    </w:tbl>
    <w:p>
      <w:pPr>
        <w:spacing w:line="590" w:lineRule="exact"/>
        <w:ind w:firstLine="412" w:firstLineChars="200"/>
        <w:jc w:val="left"/>
      </w:pPr>
    </w:p>
    <w:p>
      <w:pPr>
        <w:spacing w:line="590" w:lineRule="exact"/>
        <w:ind w:firstLine="412" w:firstLineChars="200"/>
        <w:jc w:val="left"/>
      </w:pPr>
    </w:p>
    <w:p>
      <w:pPr>
        <w:spacing w:line="590" w:lineRule="exact"/>
        <w:ind w:firstLine="412" w:firstLineChars="200"/>
        <w:jc w:val="left"/>
      </w:pPr>
    </w:p>
    <w:p>
      <w:pPr>
        <w:spacing w:line="590" w:lineRule="exact"/>
        <w:ind w:firstLine="412" w:firstLineChars="200"/>
        <w:jc w:val="left"/>
      </w:pPr>
    </w:p>
    <w:p>
      <w:pPr>
        <w:spacing w:line="590" w:lineRule="exact"/>
        <w:ind w:firstLine="412" w:firstLineChars="200"/>
        <w:jc w:val="left"/>
      </w:pPr>
    </w:p>
    <w:p>
      <w:pPr>
        <w:spacing w:line="590" w:lineRule="exact"/>
        <w:ind w:firstLine="412" w:firstLineChars="200"/>
        <w:jc w:val="left"/>
      </w:pPr>
    </w:p>
    <w:p>
      <w:pPr>
        <w:spacing w:line="590" w:lineRule="exact"/>
        <w:ind w:firstLine="412" w:firstLineChars="200"/>
        <w:jc w:val="left"/>
      </w:pPr>
    </w:p>
    <w:p>
      <w:pPr>
        <w:spacing w:line="590" w:lineRule="exact"/>
        <w:rPr>
          <w:rFonts w:ascii="黑体" w:hAnsi="黑体" w:eastAsia="黑体" w:cs="黑体"/>
          <w:sz w:val="32"/>
          <w:szCs w:val="32"/>
        </w:rPr>
      </w:pPr>
      <w:r>
        <w:rPr>
          <w:rFonts w:hint="eastAsia" w:ascii="黑体" w:hAnsi="黑体" w:eastAsia="黑体" w:cs="黑体"/>
          <w:sz w:val="32"/>
          <w:szCs w:val="32"/>
        </w:rPr>
        <w:t>附表2：</w:t>
      </w:r>
    </w:p>
    <w:p>
      <w:pPr>
        <w:spacing w:line="59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河南省动物防疫条件审查场所选址风险</w:t>
      </w:r>
    </w:p>
    <w:p>
      <w:pPr>
        <w:spacing w:line="59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评  估  表</w:t>
      </w:r>
    </w:p>
    <w:p>
      <w:pPr>
        <w:spacing w:line="300" w:lineRule="exact"/>
        <w:jc w:val="center"/>
        <w:rPr>
          <w:rFonts w:ascii="方正小标宋简体" w:hAnsi="方正小标宋简体" w:eastAsia="方正小标宋简体" w:cs="方正小标宋简体"/>
          <w:sz w:val="44"/>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463"/>
        <w:gridCol w:w="157"/>
        <w:gridCol w:w="2080"/>
        <w:gridCol w:w="1018"/>
        <w:gridCol w:w="1244"/>
        <w:gridCol w:w="498"/>
        <w:gridCol w:w="600"/>
        <w:gridCol w:w="667"/>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40" w:type="dxa"/>
            <w:gridSpan w:val="10"/>
            <w:vAlign w:val="center"/>
          </w:tcPr>
          <w:p>
            <w:pPr>
              <w:spacing w:line="320" w:lineRule="exact"/>
              <w:jc w:val="center"/>
              <w:rPr>
                <w:rFonts w:ascii="黑体" w:hAnsi="黑体" w:eastAsia="黑体" w:cs="黑体"/>
                <w:szCs w:val="21"/>
              </w:rPr>
            </w:pPr>
            <w:r>
              <w:rPr>
                <w:rFonts w:hint="eastAsia" w:ascii="黑体" w:hAnsi="黑体" w:eastAsia="黑体" w:cs="黑体"/>
                <w:szCs w:val="21"/>
              </w:rPr>
              <w:t>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单位名称</w:t>
            </w:r>
          </w:p>
        </w:tc>
        <w:tc>
          <w:tcPr>
            <w:tcW w:w="3255" w:type="dxa"/>
            <w:gridSpan w:val="3"/>
            <w:vAlign w:val="center"/>
          </w:tcPr>
          <w:p>
            <w:pPr>
              <w:spacing w:line="320" w:lineRule="exact"/>
              <w:jc w:val="center"/>
              <w:rPr>
                <w:rFonts w:ascii="仿宋_GB2312" w:hAnsi="仿宋_GB2312" w:eastAsia="仿宋_GB2312" w:cs="仿宋_GB2312"/>
                <w:szCs w:val="21"/>
              </w:rPr>
            </w:pPr>
          </w:p>
        </w:tc>
        <w:tc>
          <w:tcPr>
            <w:tcW w:w="124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设计规模</w:t>
            </w:r>
          </w:p>
        </w:tc>
        <w:tc>
          <w:tcPr>
            <w:tcW w:w="2428" w:type="dxa"/>
            <w:gridSpan w:val="4"/>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vMerge w:val="restart"/>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项目地址</w:t>
            </w:r>
          </w:p>
        </w:tc>
        <w:tc>
          <w:tcPr>
            <w:tcW w:w="3255" w:type="dxa"/>
            <w:gridSpan w:val="3"/>
            <w:vMerge w:val="restart"/>
            <w:vAlign w:val="center"/>
          </w:tcPr>
          <w:p>
            <w:pPr>
              <w:spacing w:line="320" w:lineRule="exact"/>
              <w:jc w:val="center"/>
              <w:rPr>
                <w:rFonts w:ascii="仿宋_GB2312" w:hAnsi="仿宋_GB2312" w:eastAsia="仿宋_GB2312" w:cs="仿宋_GB2312"/>
                <w:szCs w:val="21"/>
              </w:rPr>
            </w:pPr>
          </w:p>
        </w:tc>
        <w:tc>
          <w:tcPr>
            <w:tcW w:w="124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负责人</w:t>
            </w:r>
          </w:p>
        </w:tc>
        <w:tc>
          <w:tcPr>
            <w:tcW w:w="2428" w:type="dxa"/>
            <w:gridSpan w:val="4"/>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vMerge w:val="continue"/>
            <w:vAlign w:val="center"/>
          </w:tcPr>
          <w:p>
            <w:pPr>
              <w:spacing w:line="320" w:lineRule="exact"/>
              <w:jc w:val="center"/>
              <w:rPr>
                <w:rFonts w:ascii="仿宋_GB2312" w:hAnsi="仿宋_GB2312" w:eastAsia="仿宋_GB2312" w:cs="仿宋_GB2312"/>
                <w:szCs w:val="21"/>
              </w:rPr>
            </w:pPr>
          </w:p>
        </w:tc>
        <w:tc>
          <w:tcPr>
            <w:tcW w:w="3255" w:type="dxa"/>
            <w:gridSpan w:val="3"/>
            <w:vMerge w:val="continue"/>
            <w:vAlign w:val="center"/>
          </w:tcPr>
          <w:p>
            <w:pPr>
              <w:spacing w:line="320" w:lineRule="exact"/>
              <w:jc w:val="center"/>
              <w:rPr>
                <w:rFonts w:ascii="仿宋_GB2312" w:hAnsi="仿宋_GB2312" w:eastAsia="仿宋_GB2312" w:cs="仿宋_GB2312"/>
                <w:szCs w:val="21"/>
              </w:rPr>
            </w:pPr>
          </w:p>
        </w:tc>
        <w:tc>
          <w:tcPr>
            <w:tcW w:w="124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c>
          <w:tcPr>
            <w:tcW w:w="2428" w:type="dxa"/>
            <w:gridSpan w:val="4"/>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vMerge w:val="continue"/>
            <w:vAlign w:val="center"/>
          </w:tcPr>
          <w:p>
            <w:pPr>
              <w:spacing w:line="320" w:lineRule="exact"/>
              <w:jc w:val="center"/>
              <w:rPr>
                <w:rFonts w:ascii="仿宋_GB2312" w:hAnsi="仿宋_GB2312" w:eastAsia="仿宋_GB2312" w:cs="仿宋_GB2312"/>
                <w:szCs w:val="21"/>
              </w:rPr>
            </w:pPr>
          </w:p>
        </w:tc>
        <w:tc>
          <w:tcPr>
            <w:tcW w:w="3255" w:type="dxa"/>
            <w:gridSpan w:val="3"/>
            <w:vMerge w:val="continue"/>
            <w:vAlign w:val="center"/>
          </w:tcPr>
          <w:p>
            <w:pPr>
              <w:spacing w:line="320" w:lineRule="exact"/>
              <w:jc w:val="center"/>
              <w:rPr>
                <w:rFonts w:ascii="仿宋_GB2312" w:hAnsi="仿宋_GB2312" w:eastAsia="仿宋_GB2312" w:cs="仿宋_GB2312"/>
                <w:szCs w:val="21"/>
              </w:rPr>
            </w:pPr>
          </w:p>
        </w:tc>
        <w:tc>
          <w:tcPr>
            <w:tcW w:w="124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传真号码</w:t>
            </w:r>
          </w:p>
        </w:tc>
        <w:tc>
          <w:tcPr>
            <w:tcW w:w="2428" w:type="dxa"/>
            <w:gridSpan w:val="4"/>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3255" w:type="dxa"/>
            <w:gridSpan w:val="3"/>
            <w:vAlign w:val="center"/>
          </w:tcPr>
          <w:p>
            <w:pPr>
              <w:spacing w:line="320" w:lineRule="exact"/>
              <w:jc w:val="center"/>
              <w:rPr>
                <w:rFonts w:ascii="仿宋_GB2312" w:hAnsi="仿宋_GB2312" w:eastAsia="仿宋_GB2312" w:cs="仿宋_GB2312"/>
                <w:szCs w:val="21"/>
              </w:rPr>
            </w:pPr>
          </w:p>
        </w:tc>
        <w:tc>
          <w:tcPr>
            <w:tcW w:w="124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c>
          <w:tcPr>
            <w:tcW w:w="2428" w:type="dxa"/>
            <w:gridSpan w:val="4"/>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场所类别</w:t>
            </w:r>
          </w:p>
        </w:tc>
        <w:tc>
          <w:tcPr>
            <w:tcW w:w="6927" w:type="dxa"/>
            <w:gridSpan w:val="8"/>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□饲养场    □养殖小区  □动物隔离场所  </w:t>
            </w:r>
          </w:p>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□动物屠宰加工场        □动物和动物产品无害化处理场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10"/>
            <w:vAlign w:val="center"/>
          </w:tcPr>
          <w:p>
            <w:pPr>
              <w:spacing w:line="320" w:lineRule="exact"/>
              <w:jc w:val="center"/>
              <w:rPr>
                <w:rFonts w:ascii="黑体" w:hAnsi="黑体" w:eastAsia="黑体" w:cs="黑体"/>
                <w:color w:val="000000"/>
                <w:szCs w:val="21"/>
              </w:rPr>
            </w:pPr>
            <w:r>
              <w:rPr>
                <w:rFonts w:hint="eastAsia" w:ascii="黑体" w:hAnsi="黑体" w:eastAsia="黑体" w:cs="黑体"/>
                <w:szCs w:val="21"/>
              </w:rPr>
              <w:t>评估要素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150" w:type="dxa"/>
            <w:vAlign w:val="center"/>
          </w:tcPr>
          <w:p>
            <w:pPr>
              <w:widowControl/>
              <w:spacing w:line="320" w:lineRule="exact"/>
              <w:jc w:val="center"/>
              <w:rPr>
                <w:rFonts w:ascii="黑体" w:hAnsi="黑体" w:eastAsia="黑体" w:cs="黑体"/>
                <w:kern w:val="0"/>
                <w:szCs w:val="21"/>
              </w:rPr>
            </w:pPr>
            <w:r>
              <w:rPr>
                <w:rFonts w:hint="eastAsia" w:ascii="黑体" w:hAnsi="黑体" w:eastAsia="黑体" w:cs="黑体"/>
                <w:kern w:val="0"/>
                <w:szCs w:val="21"/>
              </w:rPr>
              <w:t>必备条件</w:t>
            </w:r>
          </w:p>
        </w:tc>
        <w:tc>
          <w:tcPr>
            <w:tcW w:w="7390" w:type="dxa"/>
            <w:gridSpan w:val="9"/>
            <w:vAlign w:val="center"/>
          </w:tcPr>
          <w:p>
            <w:pPr>
              <w:widowControl/>
              <w:spacing w:line="320" w:lineRule="exact"/>
              <w:ind w:firstLine="412" w:firstLineChars="200"/>
              <w:rPr>
                <w:rFonts w:ascii="黑体" w:hAnsi="黑体" w:eastAsia="黑体" w:cs="黑体"/>
                <w:kern w:val="0"/>
                <w:szCs w:val="21"/>
              </w:rPr>
            </w:pPr>
            <w:r>
              <w:rPr>
                <w:rFonts w:hint="eastAsia" w:ascii="仿宋_GB2312" w:hAnsi="仿宋_GB2312" w:eastAsia="仿宋_GB2312" w:cs="仿宋_GB2312"/>
                <w:kern w:val="0"/>
                <w:szCs w:val="21"/>
              </w:rPr>
              <w:t>动物饲养场、养殖小区、动物隔离场所在生活饮用水的一级水源保护区，风景名胜区核心景区，以及自然保护区的核心区和缓冲区，城镇居民区、文化教育科学研究区等人口集中区域等畜禽养殖禁养区内的，不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jc w:val="center"/>
              <w:rPr>
                <w:rFonts w:ascii="黑体" w:hAnsi="黑体" w:eastAsia="黑体" w:cs="黑体"/>
                <w:kern w:val="0"/>
                <w:szCs w:val="21"/>
              </w:rPr>
            </w:pPr>
            <w:r>
              <w:rPr>
                <w:rFonts w:hint="eastAsia" w:ascii="黑体" w:hAnsi="黑体" w:eastAsia="黑体" w:cs="黑体"/>
                <w:kern w:val="0"/>
                <w:szCs w:val="21"/>
              </w:rPr>
              <w:t>项目</w:t>
            </w:r>
          </w:p>
        </w:tc>
        <w:tc>
          <w:tcPr>
            <w:tcW w:w="620" w:type="dxa"/>
            <w:gridSpan w:val="2"/>
            <w:vAlign w:val="center"/>
          </w:tcPr>
          <w:p>
            <w:pPr>
              <w:widowControl/>
              <w:spacing w:line="320" w:lineRule="exact"/>
              <w:jc w:val="center"/>
              <w:rPr>
                <w:rFonts w:ascii="黑体" w:hAnsi="黑体" w:eastAsia="黑体" w:cs="黑体"/>
                <w:kern w:val="0"/>
                <w:szCs w:val="21"/>
              </w:rPr>
            </w:pPr>
            <w:r>
              <w:rPr>
                <w:rFonts w:hint="eastAsia" w:ascii="黑体" w:hAnsi="黑体" w:eastAsia="黑体" w:cs="黑体"/>
                <w:kern w:val="0"/>
                <w:szCs w:val="21"/>
              </w:rPr>
              <w:t>编号</w:t>
            </w:r>
          </w:p>
        </w:tc>
        <w:tc>
          <w:tcPr>
            <w:tcW w:w="2080" w:type="dxa"/>
            <w:vAlign w:val="center"/>
          </w:tcPr>
          <w:p>
            <w:pPr>
              <w:widowControl/>
              <w:spacing w:line="320" w:lineRule="exact"/>
              <w:jc w:val="center"/>
              <w:rPr>
                <w:rFonts w:ascii="黑体" w:hAnsi="黑体" w:eastAsia="黑体" w:cs="黑体"/>
                <w:kern w:val="0"/>
                <w:szCs w:val="21"/>
              </w:rPr>
            </w:pPr>
            <w:r>
              <w:rPr>
                <w:rFonts w:hint="eastAsia" w:ascii="黑体" w:hAnsi="黑体" w:eastAsia="黑体" w:cs="黑体"/>
                <w:kern w:val="0"/>
                <w:szCs w:val="21"/>
              </w:rPr>
              <w:t>评估内容</w:t>
            </w:r>
          </w:p>
        </w:tc>
        <w:tc>
          <w:tcPr>
            <w:tcW w:w="2760" w:type="dxa"/>
            <w:gridSpan w:val="3"/>
            <w:vAlign w:val="center"/>
          </w:tcPr>
          <w:p>
            <w:pPr>
              <w:widowControl/>
              <w:spacing w:line="320" w:lineRule="exact"/>
              <w:jc w:val="center"/>
              <w:rPr>
                <w:rFonts w:ascii="黑体" w:hAnsi="黑体" w:eastAsia="黑体" w:cs="黑体"/>
                <w:kern w:val="0"/>
                <w:szCs w:val="21"/>
              </w:rPr>
            </w:pPr>
            <w:r>
              <w:rPr>
                <w:rFonts w:hint="eastAsia" w:ascii="黑体" w:hAnsi="黑体" w:eastAsia="黑体" w:cs="黑体"/>
                <w:kern w:val="0"/>
                <w:szCs w:val="21"/>
              </w:rPr>
              <w:t>核查</w:t>
            </w:r>
          </w:p>
          <w:p>
            <w:pPr>
              <w:widowControl/>
              <w:spacing w:line="320" w:lineRule="exact"/>
              <w:jc w:val="center"/>
              <w:rPr>
                <w:rFonts w:ascii="黑体" w:hAnsi="黑体" w:eastAsia="黑体" w:cs="黑体"/>
                <w:kern w:val="0"/>
                <w:szCs w:val="21"/>
              </w:rPr>
            </w:pPr>
            <w:r>
              <w:rPr>
                <w:rFonts w:hint="eastAsia" w:ascii="黑体" w:hAnsi="黑体" w:eastAsia="黑体" w:cs="黑体"/>
                <w:kern w:val="0"/>
                <w:szCs w:val="21"/>
              </w:rPr>
              <w:t>形式</w:t>
            </w:r>
          </w:p>
        </w:tc>
        <w:tc>
          <w:tcPr>
            <w:tcW w:w="600" w:type="dxa"/>
            <w:vAlign w:val="center"/>
          </w:tcPr>
          <w:p>
            <w:pPr>
              <w:widowControl/>
              <w:spacing w:line="320" w:lineRule="exact"/>
              <w:jc w:val="center"/>
              <w:rPr>
                <w:rFonts w:ascii="黑体" w:hAnsi="黑体" w:eastAsia="黑体" w:cs="黑体"/>
                <w:kern w:val="0"/>
                <w:szCs w:val="21"/>
              </w:rPr>
            </w:pPr>
            <w:r>
              <w:rPr>
                <w:rFonts w:hint="eastAsia" w:ascii="黑体" w:hAnsi="黑体" w:eastAsia="黑体" w:cs="黑体"/>
                <w:kern w:val="0"/>
                <w:szCs w:val="21"/>
              </w:rPr>
              <w:t>分值</w:t>
            </w:r>
          </w:p>
        </w:tc>
        <w:tc>
          <w:tcPr>
            <w:tcW w:w="667" w:type="dxa"/>
            <w:vAlign w:val="center"/>
          </w:tcPr>
          <w:p>
            <w:pPr>
              <w:widowControl/>
              <w:spacing w:line="320" w:lineRule="exact"/>
              <w:jc w:val="center"/>
              <w:rPr>
                <w:rFonts w:ascii="黑体" w:hAnsi="黑体" w:eastAsia="黑体" w:cs="黑体"/>
                <w:kern w:val="0"/>
                <w:szCs w:val="21"/>
              </w:rPr>
            </w:pPr>
            <w:r>
              <w:rPr>
                <w:rFonts w:hint="eastAsia" w:ascii="黑体" w:hAnsi="黑体" w:eastAsia="黑体" w:cs="黑体"/>
                <w:kern w:val="0"/>
                <w:szCs w:val="21"/>
              </w:rPr>
              <w:t>得分</w:t>
            </w:r>
          </w:p>
        </w:tc>
        <w:tc>
          <w:tcPr>
            <w:tcW w:w="663" w:type="dxa"/>
            <w:vAlign w:val="center"/>
          </w:tcPr>
          <w:p>
            <w:pPr>
              <w:widowControl/>
              <w:spacing w:line="320" w:lineRule="exact"/>
              <w:jc w:val="center"/>
              <w:rPr>
                <w:rFonts w:ascii="黑体" w:hAnsi="黑体" w:eastAsia="黑体" w:cs="黑体"/>
                <w:kern w:val="0"/>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天然屏障</w:t>
            </w:r>
          </w:p>
        </w:tc>
        <w:tc>
          <w:tcPr>
            <w:tcW w:w="620" w:type="dxa"/>
            <w:gridSpan w:val="2"/>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1</w:t>
            </w:r>
          </w:p>
        </w:tc>
        <w:tc>
          <w:tcPr>
            <w:tcW w:w="2080" w:type="dxa"/>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周边的天然屏障（如河流、山脉等）</w:t>
            </w:r>
          </w:p>
        </w:tc>
        <w:tc>
          <w:tcPr>
            <w:tcW w:w="2760" w:type="dxa"/>
            <w:gridSpan w:val="3"/>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查看周边有无河流、山脉、树林等隔断。根据隔断的有效性评分（动物屠宰加工场放宽要求）。</w:t>
            </w:r>
          </w:p>
        </w:tc>
        <w:tc>
          <w:tcPr>
            <w:tcW w:w="60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15</w:t>
            </w:r>
          </w:p>
        </w:tc>
        <w:tc>
          <w:tcPr>
            <w:tcW w:w="667" w:type="dxa"/>
            <w:vAlign w:val="center"/>
          </w:tcPr>
          <w:p>
            <w:pPr>
              <w:widowControl/>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Merge w:val="restart"/>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人工屏障</w:t>
            </w:r>
          </w:p>
        </w:tc>
        <w:tc>
          <w:tcPr>
            <w:tcW w:w="620" w:type="dxa"/>
            <w:gridSpan w:val="2"/>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2</w:t>
            </w:r>
          </w:p>
        </w:tc>
        <w:tc>
          <w:tcPr>
            <w:tcW w:w="2080" w:type="dxa"/>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入场道路距门口距离</w:t>
            </w:r>
          </w:p>
        </w:tc>
        <w:tc>
          <w:tcPr>
            <w:tcW w:w="2760" w:type="dxa"/>
            <w:gridSpan w:val="3"/>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有长于200米单独的道路（动物屠宰加工场放宽到30米，均指距场大门口的距离）给满分，不足的视情况给分。</w:t>
            </w:r>
          </w:p>
        </w:tc>
        <w:tc>
          <w:tcPr>
            <w:tcW w:w="60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5</w:t>
            </w:r>
          </w:p>
        </w:tc>
        <w:tc>
          <w:tcPr>
            <w:tcW w:w="667" w:type="dxa"/>
            <w:vAlign w:val="center"/>
          </w:tcPr>
          <w:p>
            <w:pPr>
              <w:widowControl/>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50" w:type="dxa"/>
            <w:vMerge w:val="continue"/>
            <w:vAlign w:val="center"/>
          </w:tcPr>
          <w:p>
            <w:pPr>
              <w:widowControl/>
              <w:spacing w:line="320" w:lineRule="exact"/>
              <w:rPr>
                <w:rFonts w:ascii="仿宋_GB2312" w:hAnsi="仿宋_GB2312" w:eastAsia="仿宋_GB2312" w:cs="仿宋_GB2312"/>
                <w:b/>
                <w:bCs/>
                <w:kern w:val="0"/>
                <w:szCs w:val="21"/>
              </w:rPr>
            </w:pPr>
          </w:p>
        </w:tc>
        <w:tc>
          <w:tcPr>
            <w:tcW w:w="620" w:type="dxa"/>
            <w:gridSpan w:val="2"/>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3</w:t>
            </w:r>
          </w:p>
        </w:tc>
        <w:tc>
          <w:tcPr>
            <w:tcW w:w="2080" w:type="dxa"/>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szCs w:val="21"/>
              </w:rPr>
              <w:t>绿化隔离带、围墙等物理隔离等人工屏障</w:t>
            </w:r>
          </w:p>
        </w:tc>
        <w:tc>
          <w:tcPr>
            <w:tcW w:w="2760" w:type="dxa"/>
            <w:gridSpan w:val="3"/>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根据隔断效果综合评估给分。</w:t>
            </w:r>
          </w:p>
        </w:tc>
        <w:tc>
          <w:tcPr>
            <w:tcW w:w="60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10</w:t>
            </w:r>
          </w:p>
        </w:tc>
        <w:tc>
          <w:tcPr>
            <w:tcW w:w="667" w:type="dxa"/>
            <w:vAlign w:val="center"/>
          </w:tcPr>
          <w:p>
            <w:pPr>
              <w:widowControl/>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0" w:type="dxa"/>
            <w:vMerge w:val="continue"/>
            <w:vAlign w:val="center"/>
          </w:tcPr>
          <w:p>
            <w:pPr>
              <w:widowControl/>
              <w:spacing w:line="320" w:lineRule="exact"/>
              <w:rPr>
                <w:rFonts w:ascii="仿宋_GB2312" w:hAnsi="仿宋_GB2312" w:eastAsia="仿宋_GB2312" w:cs="仿宋_GB2312"/>
                <w:b/>
                <w:bCs/>
                <w:kern w:val="0"/>
                <w:szCs w:val="21"/>
              </w:rPr>
            </w:pPr>
          </w:p>
        </w:tc>
        <w:tc>
          <w:tcPr>
            <w:tcW w:w="620" w:type="dxa"/>
            <w:gridSpan w:val="2"/>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2080" w:type="dxa"/>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房舍、设施的隔断</w:t>
            </w:r>
          </w:p>
        </w:tc>
        <w:tc>
          <w:tcPr>
            <w:tcW w:w="2760" w:type="dxa"/>
            <w:gridSpan w:val="3"/>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szCs w:val="21"/>
              </w:rPr>
              <w:t>饲养场、养殖小区和动物隔离场</w:t>
            </w:r>
            <w:r>
              <w:rPr>
                <w:rFonts w:hint="eastAsia" w:ascii="仿宋_GB2312" w:hAnsi="仿宋_GB2312" w:eastAsia="仿宋_GB2312" w:cs="仿宋_GB2312"/>
                <w:kern w:val="0"/>
                <w:szCs w:val="21"/>
              </w:rPr>
              <w:t>采用全封闭、现代化设备（如楼房养殖等）的情况；屠宰场、无害化处理场根据相关工艺、设施评价对外界的影响。综合评估给分。</w:t>
            </w:r>
          </w:p>
        </w:tc>
        <w:tc>
          <w:tcPr>
            <w:tcW w:w="60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w:t>
            </w:r>
          </w:p>
        </w:tc>
        <w:tc>
          <w:tcPr>
            <w:tcW w:w="667" w:type="dxa"/>
            <w:vAlign w:val="center"/>
          </w:tcPr>
          <w:p>
            <w:pPr>
              <w:widowControl/>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行政区划</w:t>
            </w:r>
          </w:p>
        </w:tc>
        <w:tc>
          <w:tcPr>
            <w:tcW w:w="620" w:type="dxa"/>
            <w:gridSpan w:val="2"/>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5</w:t>
            </w:r>
          </w:p>
        </w:tc>
        <w:tc>
          <w:tcPr>
            <w:tcW w:w="2080" w:type="dxa"/>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与其他行政区划的距离</w:t>
            </w:r>
          </w:p>
        </w:tc>
        <w:tc>
          <w:tcPr>
            <w:tcW w:w="2760" w:type="dxa"/>
            <w:gridSpan w:val="3"/>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离省、地级以上市、县边界的靠近程度。1公里以上满分，不足1公里的，视情况给分。</w:t>
            </w:r>
          </w:p>
        </w:tc>
        <w:tc>
          <w:tcPr>
            <w:tcW w:w="60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5</w:t>
            </w:r>
          </w:p>
        </w:tc>
        <w:tc>
          <w:tcPr>
            <w:tcW w:w="667" w:type="dxa"/>
            <w:vAlign w:val="center"/>
          </w:tcPr>
          <w:p>
            <w:pPr>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bl>
    <w:p>
      <w:pPr>
        <w:rPr>
          <w:rFonts w:ascii="Times New Roman" w:hAnsi="Times New Roman" w:eastAsia="宋体" w:cs="Times New Roman"/>
          <w:sz w:val="32"/>
          <w:szCs w:val="20"/>
        </w:rPr>
        <w:sectPr>
          <w:footerReference r:id="rId3" w:type="default"/>
          <w:pgSz w:w="11906" w:h="16838"/>
          <w:pgMar w:top="1440" w:right="1800" w:bottom="1440" w:left="1800" w:header="851" w:footer="1418" w:gutter="0"/>
          <w:cols w:space="720" w:num="1"/>
          <w:titlePg/>
          <w:docGrid w:type="linesAndChars" w:linePitch="590" w:charSpace="-1024"/>
        </w:sect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620"/>
        <w:gridCol w:w="2080"/>
        <w:gridCol w:w="2760"/>
        <w:gridCol w:w="600"/>
        <w:gridCol w:w="667"/>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饲养环境</w:t>
            </w:r>
          </w:p>
        </w:tc>
        <w:tc>
          <w:tcPr>
            <w:tcW w:w="62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6</w:t>
            </w:r>
          </w:p>
        </w:tc>
        <w:tc>
          <w:tcPr>
            <w:tcW w:w="2080" w:type="dxa"/>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周边环境的复杂程度</w:t>
            </w:r>
          </w:p>
        </w:tc>
        <w:tc>
          <w:tcPr>
            <w:tcW w:w="2760" w:type="dxa"/>
            <w:vAlign w:val="center"/>
          </w:tcPr>
          <w:p>
            <w:pPr>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查看与周边居民、工业区、活畜禽交易市场、水源保护地、禁养区、主干道以及相关场所的距离与分布情况。综合评估给分。</w:t>
            </w:r>
          </w:p>
        </w:tc>
        <w:tc>
          <w:tcPr>
            <w:tcW w:w="60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15</w:t>
            </w:r>
          </w:p>
        </w:tc>
        <w:tc>
          <w:tcPr>
            <w:tcW w:w="667" w:type="dxa"/>
            <w:vAlign w:val="center"/>
          </w:tcPr>
          <w:p>
            <w:pPr>
              <w:widowControl/>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动物分布</w:t>
            </w:r>
          </w:p>
        </w:tc>
        <w:tc>
          <w:tcPr>
            <w:tcW w:w="62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2080" w:type="dxa"/>
            <w:vAlign w:val="center"/>
          </w:tcPr>
          <w:p>
            <w:pPr>
              <w:widowControl/>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相关畜禽的分布与密度</w:t>
            </w:r>
          </w:p>
        </w:tc>
        <w:tc>
          <w:tcPr>
            <w:tcW w:w="2760" w:type="dxa"/>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查看周边3公里内畜禽的数量。综合评估给分。</w:t>
            </w:r>
          </w:p>
        </w:tc>
        <w:tc>
          <w:tcPr>
            <w:tcW w:w="60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667" w:type="dxa"/>
            <w:vAlign w:val="center"/>
          </w:tcPr>
          <w:p>
            <w:pPr>
              <w:widowControl/>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动物疫病的发生、流行状况</w:t>
            </w:r>
          </w:p>
        </w:tc>
        <w:tc>
          <w:tcPr>
            <w:tcW w:w="62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2080" w:type="dxa"/>
            <w:vAlign w:val="center"/>
          </w:tcPr>
          <w:p>
            <w:pPr>
              <w:widowControl/>
              <w:spacing w:line="320" w:lineRule="exact"/>
              <w:rPr>
                <w:rFonts w:ascii="仿宋_GB2312" w:hAnsi="仿宋_GB2312" w:eastAsia="仿宋_GB2312" w:cs="仿宋_GB2312"/>
                <w:szCs w:val="21"/>
              </w:rPr>
            </w:pPr>
            <w:r>
              <w:rPr>
                <w:rFonts w:hint="eastAsia" w:ascii="仿宋_GB2312" w:hAnsi="仿宋_GB2312" w:eastAsia="仿宋_GB2312" w:cs="仿宋_GB2312"/>
                <w:kern w:val="0"/>
                <w:szCs w:val="21"/>
              </w:rPr>
              <w:t>所在县相关动物疫病的发生流行情况</w:t>
            </w:r>
          </w:p>
        </w:tc>
        <w:tc>
          <w:tcPr>
            <w:tcW w:w="2760" w:type="dxa"/>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spacing w:val="-6"/>
                <w:kern w:val="0"/>
                <w:szCs w:val="21"/>
              </w:rPr>
              <w:t>查看所在县动物疫病发生记录（禽：禽流感、新城疫；猪：口蹄疫、非洲猪瘟、猪瘟、高致病性猪蓝耳病、伪狂犬病；牛羊：口蹄疫、布病、结核病；犬：狂犬病；其他动物选取危害大的病种若干进行调查），了解当地流行情况，根据开办场所涉及的动物疫病进行综合评估给分。</w:t>
            </w:r>
          </w:p>
        </w:tc>
        <w:tc>
          <w:tcPr>
            <w:tcW w:w="60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667" w:type="dxa"/>
            <w:vAlign w:val="center"/>
          </w:tcPr>
          <w:p>
            <w:pPr>
              <w:widowControl/>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制度建设</w:t>
            </w:r>
          </w:p>
        </w:tc>
        <w:tc>
          <w:tcPr>
            <w:tcW w:w="62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2080" w:type="dxa"/>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建立生物安全管理制度</w:t>
            </w:r>
          </w:p>
        </w:tc>
        <w:tc>
          <w:tcPr>
            <w:tcW w:w="2760" w:type="dxa"/>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对拟（已）建立的生物安全管理制度的科学性、可操作性以及运行效果进行综合评估给分。</w:t>
            </w:r>
          </w:p>
        </w:tc>
        <w:tc>
          <w:tcPr>
            <w:tcW w:w="60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667" w:type="dxa"/>
            <w:vAlign w:val="center"/>
          </w:tcPr>
          <w:p>
            <w:pPr>
              <w:widowControl/>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50" w:type="dxa"/>
            <w:vAlign w:val="center"/>
          </w:tcPr>
          <w:p>
            <w:pPr>
              <w:widowControl/>
              <w:spacing w:line="320" w:lineRule="exact"/>
              <w:rPr>
                <w:rFonts w:ascii="仿宋_GB2312" w:hAnsi="仿宋_GB2312" w:eastAsia="仿宋_GB2312" w:cs="仿宋_GB2312"/>
                <w:kern w:val="0"/>
                <w:szCs w:val="21"/>
              </w:rPr>
            </w:pPr>
          </w:p>
        </w:tc>
        <w:tc>
          <w:tcPr>
            <w:tcW w:w="62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2080" w:type="dxa"/>
            <w:vAlign w:val="center"/>
          </w:tcPr>
          <w:p>
            <w:pPr>
              <w:widowControl/>
              <w:spacing w:line="320" w:lineRule="exact"/>
              <w:rPr>
                <w:rFonts w:ascii="仿宋_GB2312" w:hAnsi="仿宋_GB2312" w:eastAsia="仿宋_GB2312" w:cs="仿宋_GB2312"/>
                <w:kern w:val="0"/>
                <w:szCs w:val="21"/>
              </w:rPr>
            </w:pPr>
          </w:p>
        </w:tc>
        <w:tc>
          <w:tcPr>
            <w:tcW w:w="2760" w:type="dxa"/>
            <w:vAlign w:val="center"/>
          </w:tcPr>
          <w:p>
            <w:pPr>
              <w:widowControl/>
              <w:spacing w:line="320" w:lineRule="exact"/>
              <w:rPr>
                <w:rFonts w:ascii="仿宋_GB2312" w:hAnsi="仿宋_GB2312" w:eastAsia="仿宋_GB2312" w:cs="仿宋_GB2312"/>
                <w:kern w:val="0"/>
                <w:szCs w:val="21"/>
              </w:rPr>
            </w:pPr>
          </w:p>
        </w:tc>
        <w:tc>
          <w:tcPr>
            <w:tcW w:w="60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=SUM(ABOVE) \* MERGEFORMAT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100</w:t>
            </w:r>
            <w:r>
              <w:rPr>
                <w:rFonts w:hint="eastAsia" w:ascii="仿宋_GB2312" w:hAnsi="仿宋_GB2312" w:eastAsia="仿宋_GB2312" w:cs="仿宋_GB2312"/>
                <w:kern w:val="0"/>
                <w:szCs w:val="21"/>
              </w:rPr>
              <w:fldChar w:fldCharType="end"/>
            </w:r>
          </w:p>
        </w:tc>
        <w:tc>
          <w:tcPr>
            <w:tcW w:w="667" w:type="dxa"/>
            <w:vAlign w:val="center"/>
          </w:tcPr>
          <w:p>
            <w:pPr>
              <w:widowControl/>
              <w:spacing w:line="320" w:lineRule="exact"/>
              <w:jc w:val="center"/>
              <w:rPr>
                <w:rFonts w:ascii="仿宋_GB2312" w:hAnsi="仿宋_GB2312" w:eastAsia="仿宋_GB2312" w:cs="仿宋_GB2312"/>
                <w:b/>
                <w:bCs/>
                <w:kern w:val="0"/>
                <w:szCs w:val="21"/>
              </w:rPr>
            </w:pPr>
          </w:p>
        </w:tc>
        <w:tc>
          <w:tcPr>
            <w:tcW w:w="663" w:type="dxa"/>
            <w:vAlign w:val="center"/>
          </w:tcPr>
          <w:p>
            <w:pPr>
              <w:widowControl/>
              <w:spacing w:line="320" w:lineRule="exact"/>
              <w:rPr>
                <w:rFonts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评估结果</w:t>
            </w:r>
          </w:p>
        </w:tc>
        <w:tc>
          <w:tcPr>
            <w:tcW w:w="7390" w:type="dxa"/>
            <w:gridSpan w:val="6"/>
            <w:vAlign w:val="center"/>
          </w:tcPr>
          <w:p>
            <w:pPr>
              <w:widowControl/>
              <w:spacing w:line="320" w:lineRule="exact"/>
              <w:rPr>
                <w:rFonts w:ascii="仿宋_GB2312" w:hAnsi="仿宋_GB2312" w:eastAsia="仿宋_GB2312" w:cs="仿宋_GB2312"/>
                <w:kern w:val="0"/>
                <w:szCs w:val="21"/>
              </w:rPr>
            </w:pP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□通过        □不通过</w:t>
            </w:r>
          </w:p>
          <w:p>
            <w:pPr>
              <w:spacing w:line="320" w:lineRule="exact"/>
              <w:ind w:left="2730" w:hanging="2730" w:hangingChars="130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□整改 （整改措施：                                             </w:t>
            </w:r>
          </w:p>
          <w:p>
            <w:pPr>
              <w:spacing w:line="320" w:lineRule="exact"/>
              <w:ind w:firstLine="4200" w:firstLineChars="200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申请方确认签名：         ）</w:t>
            </w:r>
          </w:p>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评估专家组</w:t>
            </w:r>
            <w:r>
              <w:rPr>
                <w:rFonts w:hint="eastAsia" w:ascii="仿宋_GB2312" w:hAnsi="仿宋_GB2312" w:eastAsia="仿宋_GB2312" w:cs="仿宋_GB2312"/>
                <w:kern w:val="0"/>
                <w:szCs w:val="21"/>
              </w:rPr>
              <w:t>签名</w:t>
            </w:r>
            <w:r>
              <w:rPr>
                <w:rFonts w:hint="eastAsia" w:ascii="仿宋_GB2312" w:hAnsi="仿宋_GB2312" w:eastAsia="仿宋_GB2312" w:cs="仿宋_GB2312"/>
                <w:szCs w:val="21"/>
              </w:rPr>
              <w:t xml:space="preserve"> 组长：                  成员：</w:t>
            </w:r>
          </w:p>
          <w:p>
            <w:pPr>
              <w:spacing w:line="320" w:lineRule="exact"/>
              <w:ind w:firstLine="5250" w:firstLineChars="2500"/>
              <w:rPr>
                <w:rFonts w:ascii="仿宋_GB2312" w:hAnsi="仿宋_GB2312" w:eastAsia="仿宋_GB2312" w:cs="仿宋_GB2312"/>
                <w:b/>
                <w:bCs/>
                <w:kern w:val="0"/>
                <w:szCs w:val="21"/>
              </w:rPr>
            </w:pPr>
            <w:r>
              <w:rPr>
                <w:rFonts w:hint="eastAsia" w:ascii="仿宋_GB2312" w:hAnsi="仿宋_GB2312" w:eastAsia="仿宋_GB2312" w:cs="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整改结果</w:t>
            </w:r>
          </w:p>
        </w:tc>
        <w:tc>
          <w:tcPr>
            <w:tcW w:w="7390" w:type="dxa"/>
            <w:gridSpan w:val="6"/>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（此栏需整改时填写）□通过        □不通过</w:t>
            </w:r>
          </w:p>
          <w:p>
            <w:pPr>
              <w:spacing w:line="320" w:lineRule="exact"/>
              <w:rPr>
                <w:rFonts w:ascii="仿宋_GB2312" w:hAnsi="仿宋_GB2312" w:eastAsia="仿宋_GB2312" w:cs="仿宋_GB2312"/>
                <w:kern w:val="0"/>
                <w:szCs w:val="21"/>
              </w:rPr>
            </w:pPr>
          </w:p>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评估专家组 组长：</w:t>
            </w:r>
          </w:p>
          <w:p>
            <w:pPr>
              <w:spacing w:line="32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0" w:type="dxa"/>
            <w:vAlign w:val="center"/>
          </w:tcPr>
          <w:p>
            <w:pPr>
              <w:widowControl/>
              <w:spacing w:line="32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评估机构意见</w:t>
            </w:r>
          </w:p>
        </w:tc>
        <w:tc>
          <w:tcPr>
            <w:tcW w:w="7390" w:type="dxa"/>
            <w:gridSpan w:val="6"/>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□同意通过选址风险评估    □不同意通过选址风险评估</w:t>
            </w:r>
          </w:p>
          <w:p>
            <w:pPr>
              <w:widowControl/>
              <w:spacing w:line="320" w:lineRule="exact"/>
              <w:rPr>
                <w:rFonts w:ascii="仿宋_GB2312" w:hAnsi="仿宋_GB2312" w:eastAsia="仿宋_GB2312" w:cs="仿宋_GB2312"/>
                <w:kern w:val="0"/>
                <w:szCs w:val="21"/>
              </w:rPr>
            </w:pPr>
          </w:p>
          <w:p>
            <w:pPr>
              <w:spacing w:line="320" w:lineRule="exact"/>
              <w:ind w:left="3179" w:leftChars="1514"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（评估机构盖章）</w:t>
            </w:r>
          </w:p>
          <w:p>
            <w:pPr>
              <w:spacing w:line="320" w:lineRule="exact"/>
              <w:ind w:firstLine="4620" w:firstLineChars="2200"/>
              <w:rPr>
                <w:rFonts w:ascii="仿宋_GB2312" w:hAnsi="仿宋_GB2312" w:eastAsia="仿宋_GB2312" w:cs="仿宋_GB2312"/>
                <w:b/>
                <w:bCs/>
                <w:kern w:val="0"/>
                <w:szCs w:val="21"/>
              </w:rPr>
            </w:pPr>
            <w:r>
              <w:rPr>
                <w:rFonts w:hint="eastAsia" w:ascii="仿宋_GB2312" w:hAnsi="仿宋_GB2312" w:eastAsia="仿宋_GB2312" w:cs="仿宋_GB2312"/>
                <w:kern w:val="0"/>
                <w:szCs w:val="21"/>
              </w:rPr>
              <w:t xml:space="preserve">      年    月      日</w:t>
            </w:r>
          </w:p>
        </w:tc>
      </w:tr>
    </w:tbl>
    <w:p>
      <w:pPr>
        <w:spacing w:line="320" w:lineRule="exact"/>
        <w:ind w:firstLine="210" w:firstLineChars="100"/>
        <w:rPr>
          <w:rFonts w:ascii="仿宋_GB2312" w:hAnsi="仿宋_GB2312" w:eastAsia="仿宋_GB2312" w:cs="仿宋_GB2312"/>
          <w:szCs w:val="21"/>
        </w:rPr>
      </w:pPr>
      <w:r>
        <w:rPr>
          <w:rFonts w:hint="eastAsia" w:ascii="黑体" w:hAnsi="黑体" w:eastAsia="黑体" w:cs="黑体"/>
          <w:szCs w:val="21"/>
        </w:rPr>
        <w:t>注：</w:t>
      </w:r>
      <w:r>
        <w:rPr>
          <w:rFonts w:hint="eastAsia" w:ascii="仿宋_GB2312" w:hAnsi="仿宋_GB2312" w:eastAsia="仿宋_GB2312" w:cs="仿宋_GB2312"/>
          <w:szCs w:val="21"/>
        </w:rPr>
        <w:t>1.由评审专家根据风险情况评定，最终得分取平均分。</w:t>
      </w:r>
    </w:p>
    <w:p>
      <w:pPr>
        <w:spacing w:line="320" w:lineRule="exact"/>
        <w:ind w:firstLine="630" w:firstLineChars="300"/>
        <w:rPr>
          <w:rFonts w:ascii="Times New Roman" w:hAnsi="Times New Roman" w:eastAsia="宋体" w:cs="Times New Roman"/>
          <w:snapToGrid w:val="0"/>
          <w:kern w:val="0"/>
          <w:sz w:val="32"/>
          <w:szCs w:val="20"/>
        </w:rPr>
      </w:pPr>
      <w:r>
        <w:rPr>
          <w:rFonts w:hint="eastAsia" w:ascii="仿宋_GB2312" w:hAnsi="仿宋_GB2312" w:eastAsia="仿宋_GB2312" w:cs="仿宋_GB2312"/>
          <w:szCs w:val="21"/>
        </w:rPr>
        <w:t>2.饲养场、养殖小区和动物隔离场所侧重于防传入和各场之间的相互传染；动物屠宰加工场、动物和动物产品无害化处理场侧重于防传出。</w:t>
      </w:r>
      <w:bookmarkStart w:id="1" w:name="抄送"/>
      <w:bookmarkEnd w:id="1"/>
    </w:p>
    <w:p>
      <w:pPr>
        <w:spacing w:line="590" w:lineRule="exact"/>
        <w:ind w:firstLine="420" w:firstLineChars="20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3521585"/>
      <w:docPartObj>
        <w:docPartGallery w:val="autotext"/>
      </w:docPartObj>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05"/>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7C"/>
    <w:rsid w:val="0000539E"/>
    <w:rsid w:val="000413AF"/>
    <w:rsid w:val="000C2692"/>
    <w:rsid w:val="001526FD"/>
    <w:rsid w:val="0019434C"/>
    <w:rsid w:val="001B35FE"/>
    <w:rsid w:val="001F377A"/>
    <w:rsid w:val="00231497"/>
    <w:rsid w:val="002A1445"/>
    <w:rsid w:val="002C4111"/>
    <w:rsid w:val="002C73BE"/>
    <w:rsid w:val="00346506"/>
    <w:rsid w:val="00354046"/>
    <w:rsid w:val="003A1085"/>
    <w:rsid w:val="003A1C77"/>
    <w:rsid w:val="0040713D"/>
    <w:rsid w:val="0042487C"/>
    <w:rsid w:val="004656A0"/>
    <w:rsid w:val="00480BB8"/>
    <w:rsid w:val="004E07A5"/>
    <w:rsid w:val="00535E2B"/>
    <w:rsid w:val="0059510A"/>
    <w:rsid w:val="005B2081"/>
    <w:rsid w:val="00622976"/>
    <w:rsid w:val="00626EDE"/>
    <w:rsid w:val="00755E07"/>
    <w:rsid w:val="007879D0"/>
    <w:rsid w:val="007C01E6"/>
    <w:rsid w:val="007C625B"/>
    <w:rsid w:val="007D12EB"/>
    <w:rsid w:val="0080424B"/>
    <w:rsid w:val="00825402"/>
    <w:rsid w:val="00863B95"/>
    <w:rsid w:val="008A34D7"/>
    <w:rsid w:val="008A5DF6"/>
    <w:rsid w:val="008B3EA7"/>
    <w:rsid w:val="008F3945"/>
    <w:rsid w:val="00925073"/>
    <w:rsid w:val="00926ED4"/>
    <w:rsid w:val="009365BA"/>
    <w:rsid w:val="00973845"/>
    <w:rsid w:val="0097599E"/>
    <w:rsid w:val="00992FD0"/>
    <w:rsid w:val="009A08AE"/>
    <w:rsid w:val="009D3C74"/>
    <w:rsid w:val="009E7271"/>
    <w:rsid w:val="00A0284D"/>
    <w:rsid w:val="00A306CD"/>
    <w:rsid w:val="00A6413C"/>
    <w:rsid w:val="00B535B1"/>
    <w:rsid w:val="00BD1590"/>
    <w:rsid w:val="00C03ED8"/>
    <w:rsid w:val="00C3416C"/>
    <w:rsid w:val="00D0216C"/>
    <w:rsid w:val="00D87702"/>
    <w:rsid w:val="00D94858"/>
    <w:rsid w:val="00DD347C"/>
    <w:rsid w:val="00DF2551"/>
    <w:rsid w:val="00E10327"/>
    <w:rsid w:val="00E5035D"/>
    <w:rsid w:val="00E50E00"/>
    <w:rsid w:val="00EA3F28"/>
    <w:rsid w:val="00EE779D"/>
    <w:rsid w:val="00EF1193"/>
    <w:rsid w:val="00F15C39"/>
    <w:rsid w:val="00FF685D"/>
    <w:rsid w:val="31501272"/>
    <w:rsid w:val="48034CDD"/>
    <w:rsid w:val="4AA86C07"/>
    <w:rsid w:val="5A576710"/>
    <w:rsid w:val="78661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3"/>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2 Char"/>
    <w:basedOn w:val="9"/>
    <w:link w:val="2"/>
    <w:qFormat/>
    <w:uiPriority w:val="9"/>
    <w:rPr>
      <w:rFonts w:ascii="宋体" w:hAnsi="宋体" w:eastAsia="宋体" w:cs="宋体"/>
      <w:b/>
      <w:bCs/>
      <w:kern w:val="0"/>
      <w:sz w:val="36"/>
      <w:szCs w:val="36"/>
    </w:rPr>
  </w:style>
  <w:style w:type="character" w:customStyle="1" w:styleId="13">
    <w:name w:val="标题 6 Char"/>
    <w:basedOn w:val="9"/>
    <w:link w:val="3"/>
    <w:semiHidden/>
    <w:qFormat/>
    <w:uiPriority w:val="9"/>
    <w:rPr>
      <w:rFonts w:asciiTheme="majorHAnsi" w:hAnsiTheme="majorHAnsi" w:eastAsiaTheme="majorEastAsia" w:cstheme="majorBidi"/>
      <w:b/>
      <w:bCs/>
      <w:sz w:val="24"/>
      <w:szCs w:val="24"/>
    </w:rPr>
  </w:style>
  <w:style w:type="character" w:customStyle="1" w:styleId="14">
    <w:name w:val="apple-converted-space"/>
    <w:basedOn w:val="9"/>
    <w:qFormat/>
    <w:uiPriority w:val="0"/>
  </w:style>
  <w:style w:type="character" w:customStyle="1" w:styleId="15">
    <w:name w:val="批注框文本 Char"/>
    <w:basedOn w:val="9"/>
    <w:link w:val="4"/>
    <w:semiHidden/>
    <w:qFormat/>
    <w:uiPriority w:val="99"/>
    <w:rPr>
      <w:sz w:val="18"/>
      <w:szCs w:val="18"/>
    </w:rPr>
  </w:style>
  <w:style w:type="character" w:customStyle="1" w:styleId="16">
    <w:name w:val="页脚 Char"/>
    <w:basedOn w:val="9"/>
    <w:link w:val="5"/>
    <w:qFormat/>
    <w:uiPriority w:val="99"/>
    <w:rPr>
      <w:sz w:val="18"/>
      <w:szCs w:val="18"/>
    </w:rPr>
  </w:style>
  <w:style w:type="character" w:customStyle="1" w:styleId="17">
    <w:name w:val="页眉 Char"/>
    <w:basedOn w:val="9"/>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3C101-C609-4237-A243-06E195A9EEDE}">
  <ds:schemaRefs/>
</ds:datastoreItem>
</file>

<file path=docProps/app.xml><?xml version="1.0" encoding="utf-8"?>
<Properties xmlns="http://schemas.openxmlformats.org/officeDocument/2006/extended-properties" xmlns:vt="http://schemas.openxmlformats.org/officeDocument/2006/docPropsVTypes">
  <Template>Normal</Template>
  <Pages>7</Pages>
  <Words>532</Words>
  <Characters>3037</Characters>
  <Lines>25</Lines>
  <Paragraphs>7</Paragraphs>
  <TotalTime>141</TotalTime>
  <ScaleCrop>false</ScaleCrop>
  <LinksUpToDate>false</LinksUpToDate>
  <CharactersWithSpaces>3562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2020-06-02T00:10:00Z</dcterms:created>
  <dc:creator>Administrator</dc:creator>
  <cp:lastModifiedBy>think</cp:lastModifiedBy>
  <cp:lastPrinted>2020-05-19T07:32:00Z</cp:lastPrinted>
  <dcterms:modified xsi:type="dcterms:W3CDTF">2020-06-05T03:51:36Z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