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ind w:left="0" w:leftChars="0" w:right="0" w:rightChars="0" w:firstLine="0" w:firstLineChars="0"/>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罗山县交通运输局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48"/>
          <w:szCs w:val="48"/>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二〇一九年九月</w:t>
      </w:r>
    </w:p>
    <w:p>
      <w:pPr>
        <w:jc w:val="center"/>
        <w:rPr>
          <w:rFonts w:hint="eastAsia" w:ascii="黑体" w:hAnsi="黑体" w:eastAsia="黑体" w:cs="黑体"/>
          <w:color w:val="auto"/>
          <w:sz w:val="32"/>
          <w:szCs w:val="32"/>
          <w:highlight w:val="none"/>
          <w:lang w:eastAsia="zh-CN"/>
        </w:rPr>
      </w:pPr>
    </w:p>
    <w:p>
      <w:pPr>
        <w:jc w:val="both"/>
        <w:rPr>
          <w:rFonts w:hint="eastAsia" w:ascii="黑体" w:hAnsi="黑体" w:eastAsia="黑体" w:cs="黑体"/>
          <w:color w:val="auto"/>
          <w:sz w:val="32"/>
          <w:szCs w:val="32"/>
          <w:highlight w:val="none"/>
          <w:lang w:eastAsia="zh-CN"/>
        </w:rPr>
      </w:pP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罗山县交通运输局</w:t>
      </w:r>
      <w:r>
        <w:rPr>
          <w:rFonts w:hint="eastAsia" w:ascii="黑体" w:hAnsi="黑体" w:eastAsia="黑体" w:cs="黑体"/>
          <w:color w:val="auto"/>
          <w:sz w:val="32"/>
          <w:szCs w:val="32"/>
          <w:highlight w:val="none"/>
        </w:rPr>
        <w:t>概</w:t>
      </w:r>
      <w:r>
        <w:rPr>
          <w:rFonts w:hint="eastAsia" w:ascii="黑体" w:hAnsi="黑体" w:eastAsia="黑体" w:cs="黑体"/>
          <w:color w:val="auto"/>
          <w:sz w:val="32"/>
          <w:szCs w:val="32"/>
          <w:highlight w:val="none"/>
          <w:lang w:eastAsia="zh-CN"/>
        </w:rPr>
        <w:t>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w:t>
      </w:r>
      <w:r>
        <w:rPr>
          <w:rFonts w:hint="eastAsia" w:ascii="黑体" w:hAnsi="黑体" w:eastAsia="黑体" w:cs="黑体"/>
          <w:color w:val="auto"/>
          <w:sz w:val="32"/>
          <w:szCs w:val="32"/>
          <w:highlight w:val="none"/>
          <w:lang w:eastAsia="zh-CN"/>
        </w:rPr>
        <w:t>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九、政府性基金预算财政拨款支出决算情况说</w:t>
      </w:r>
      <w:r>
        <w:rPr>
          <w:rFonts w:hint="eastAsia" w:ascii="宋体" w:hAnsi="宋体" w:eastAsia="宋体" w:cs="宋体"/>
          <w:color w:val="auto"/>
          <w:sz w:val="32"/>
          <w:szCs w:val="32"/>
          <w:highlight w:val="none"/>
          <w:lang w:eastAsia="zh-CN"/>
        </w:rPr>
        <w:t>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ind w:right="420" w:rightChars="200"/>
        <w:jc w:val="left"/>
        <w:rPr>
          <w:rFonts w:hint="eastAsia" w:ascii="黑体" w:hAnsi="黑体" w:eastAsia="黑体" w:cs="黑体"/>
          <w:color w:val="auto"/>
          <w:sz w:val="32"/>
          <w:szCs w:val="32"/>
          <w:highlight w:val="none"/>
        </w:rPr>
        <w:sectPr>
          <w:headerReference r:id="rId3" w:type="default"/>
          <w:footerReference r:id="rId4" w:type="default"/>
          <w:footerReference r:id="rId5" w:type="even"/>
          <w:pgSz w:w="11906" w:h="16838"/>
          <w:pgMar w:top="1440" w:right="1679" w:bottom="1440" w:left="160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罗山县交通运输局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w:t>
      </w:r>
      <w:r>
        <w:rPr>
          <w:rFonts w:hint="eastAsia" w:ascii="黑体" w:hAnsi="黑体" w:eastAsia="黑体" w:cs="黑体"/>
          <w:bCs/>
          <w:sz w:val="32"/>
          <w:szCs w:val="32"/>
          <w:lang w:eastAsia="zh-CN"/>
        </w:rPr>
        <w:t>责</w:t>
      </w:r>
    </w:p>
    <w:p>
      <w:pPr>
        <w:numPr>
          <w:ilvl w:val="0"/>
          <w:numId w:val="0"/>
        </w:numPr>
        <w:spacing w:beforeAutospacing="0" w:afterAutospacing="0"/>
        <w:ind w:firstLine="640" w:firstLineChars="200"/>
        <w:rPr>
          <w:rFonts w:hint="eastAsia" w:ascii="宋体" w:hAnsi="宋体"/>
          <w:sz w:val="30"/>
          <w:szCs w:val="30"/>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负责</w:t>
      </w:r>
      <w:r>
        <w:rPr>
          <w:rFonts w:hint="eastAsia" w:ascii="宋体" w:hAnsi="宋体"/>
          <w:sz w:val="30"/>
          <w:szCs w:val="30"/>
        </w:rPr>
        <w:t>贯彻执行国家、省、市有关交通运输工作的法律、法规和方针、政策。承担涉及全县综合运输体系的规划协调工作，会同有关部门组织编制综合运输体系规划，指导全县交通运输规划和管理。</w:t>
      </w:r>
    </w:p>
    <w:p>
      <w:pPr>
        <w:numPr>
          <w:ilvl w:val="0"/>
          <w:numId w:val="0"/>
        </w:numPr>
        <w:spacing w:beforeAutospacing="0"/>
        <w:ind w:firstLine="600" w:firstLineChars="200"/>
        <w:rPr>
          <w:rFonts w:hint="eastAsia" w:ascii="宋体" w:hAnsi="宋体"/>
          <w:sz w:val="30"/>
          <w:szCs w:val="30"/>
        </w:rPr>
      </w:pPr>
      <w:r>
        <w:rPr>
          <w:rFonts w:hint="eastAsia" w:ascii="宋体" w:hAnsi="宋体"/>
          <w:sz w:val="30"/>
          <w:szCs w:val="30"/>
          <w:lang w:eastAsia="zh-CN"/>
        </w:rPr>
        <w:t>（二）、</w:t>
      </w:r>
      <w:r>
        <w:rPr>
          <w:rFonts w:hint="eastAsia" w:ascii="宋体" w:hAnsi="宋体"/>
          <w:sz w:val="30"/>
          <w:szCs w:val="30"/>
        </w:rPr>
        <w:t>组织拟订全县公路、水路等行业规划，统筹安排公路、水路运输的发展规模、速度和比例，制定长远规划和年度计划，并监督实施；参与拟订全县物流业发展战略和规划；指导全县公路、水路行业有关体制改革工作。</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（三）、</w:t>
      </w:r>
      <w:r>
        <w:rPr>
          <w:rFonts w:hint="eastAsia" w:ascii="宋体" w:hAnsi="宋体"/>
          <w:sz w:val="30"/>
          <w:szCs w:val="30"/>
        </w:rPr>
        <w:t>承担全县道路、水路运输市场监管责任。监督实施国家、省、市关于道路、水路运输的有关政策、技术标准和运营规范；指导全县道路客运及有关设施规划、管理工作，指导全县城乡客运、出租汽车行业管理工作。</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（四）、</w:t>
      </w:r>
      <w:r>
        <w:rPr>
          <w:rFonts w:hint="eastAsia" w:ascii="宋体" w:hAnsi="宋体"/>
          <w:sz w:val="30"/>
          <w:szCs w:val="30"/>
        </w:rPr>
        <w:t>承担全县水上交通安全监管责任。负责水上交通管制；负责船舶及水上设施检验、登记管理工作；负责船舶与港口设施安全保障、危险品运输监督、航道管理和防治污染工作。</w:t>
      </w:r>
    </w:p>
    <w:p>
      <w:pPr>
        <w:numPr>
          <w:ilvl w:val="0"/>
          <w:numId w:val="0"/>
        </w:numPr>
        <w:rPr>
          <w:rFonts w:hint="eastAsia" w:ascii="宋体" w:hAnsi="宋体"/>
          <w:sz w:val="30"/>
          <w:szCs w:val="30"/>
        </w:rPr>
      </w:pPr>
      <w:r>
        <w:rPr>
          <w:rFonts w:hint="eastAsia" w:ascii="宋体" w:hAnsi="宋体"/>
          <w:sz w:val="30"/>
          <w:szCs w:val="30"/>
          <w:lang w:eastAsia="zh-CN"/>
        </w:rPr>
        <w:t>　　（五）、</w:t>
      </w:r>
      <w:r>
        <w:rPr>
          <w:rFonts w:hint="eastAsia" w:ascii="宋体" w:hAnsi="宋体"/>
          <w:sz w:val="30"/>
          <w:szCs w:val="30"/>
        </w:rPr>
        <w:t>负责提出全县公路、水路固定资产投资规模和方向、县财政性资金安排意见，按县政府规定权限审批、批准国家、省、市、县规划内及年度计划规模内固定资产投资项目。</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（六）、</w:t>
      </w:r>
      <w:r>
        <w:rPr>
          <w:rFonts w:hint="eastAsia" w:ascii="宋体" w:hAnsi="宋体"/>
          <w:sz w:val="30"/>
          <w:szCs w:val="30"/>
        </w:rPr>
        <w:t>承担全县公路、水路建设市场监管工作。监督实施国家、省、市、关于公路、水路工程建设和维护的政策、制度及技术标准；组织协调全县公路、水路有关重点工程建设和工程质量安全生产监督管理工作，指导全县交通运输基础设施管理和维护。</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（七）、</w:t>
      </w:r>
      <w:r>
        <w:rPr>
          <w:rFonts w:hint="eastAsia" w:ascii="宋体" w:hAnsi="宋体"/>
          <w:sz w:val="30"/>
          <w:szCs w:val="30"/>
        </w:rPr>
        <w:t>指导全县公路、水路行业安全生产和应急管理工作。按规定组织协调国家重点物资和紧急客货运输，负责全县高速公路、重点干线路网的运行监测和协调工作，组织协调全县地方交通战备工作，承担国防动员有关工作。</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（八）、</w:t>
      </w:r>
      <w:r>
        <w:rPr>
          <w:rFonts w:hint="eastAsia" w:ascii="宋体" w:hAnsi="宋体"/>
          <w:sz w:val="30"/>
          <w:szCs w:val="30"/>
        </w:rPr>
        <w:t>承担指导全县交通运输信息化建设，监督分析运行情况，开展相关统计工作，发布有关信息；指导全县公路、水路行业环境保护和节能减排工作。</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（九）、</w:t>
      </w:r>
      <w:r>
        <w:rPr>
          <w:rFonts w:hint="eastAsia" w:ascii="宋体" w:hAnsi="宋体"/>
          <w:sz w:val="30"/>
          <w:szCs w:val="30"/>
        </w:rPr>
        <w:t>监督实施交通运输行业科技政策实施，组织科技成果推广，推动行业科技进步。</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（十）、</w:t>
      </w:r>
      <w:r>
        <w:rPr>
          <w:rFonts w:hint="eastAsia" w:ascii="宋体" w:hAnsi="宋体"/>
          <w:sz w:val="30"/>
          <w:szCs w:val="30"/>
        </w:rPr>
        <w:t>负责全县交通运输行业对外经济技术合作、引进利用外资、开展国际交流与合作。</w:t>
      </w:r>
    </w:p>
    <w:p>
      <w:pPr>
        <w:numPr>
          <w:ilvl w:val="0"/>
          <w:numId w:val="0"/>
        </w:numPr>
        <w:ind w:firstLine="600" w:firstLineChars="200"/>
        <w:rPr>
          <w:rFonts w:hint="eastAsia" w:ascii="宋体" w:hAnsi="宋体"/>
          <w:sz w:val="30"/>
          <w:szCs w:val="30"/>
        </w:rPr>
      </w:pPr>
      <w:r>
        <w:rPr>
          <w:rFonts w:hint="eastAsia" w:ascii="宋体" w:hAnsi="宋体"/>
          <w:sz w:val="30"/>
          <w:szCs w:val="30"/>
          <w:lang w:eastAsia="zh-CN"/>
        </w:rPr>
        <w:t>（十一）、</w:t>
      </w:r>
      <w:r>
        <w:rPr>
          <w:rFonts w:hint="eastAsia" w:ascii="宋体" w:hAnsi="宋体"/>
          <w:sz w:val="30"/>
          <w:szCs w:val="30"/>
        </w:rPr>
        <w:t>负责局机关及直属单位的政务信息化工作。</w:t>
      </w:r>
    </w:p>
    <w:p>
      <w:pPr>
        <w:numPr>
          <w:ilvl w:val="0"/>
          <w:numId w:val="0"/>
        </w:numPr>
        <w:ind w:firstLine="600" w:firstLineChars="200"/>
        <w:rPr>
          <w:rFonts w:ascii="仿宋_GB2312" w:hAnsi="Times New Roman" w:eastAsia="仿宋_GB2312"/>
          <w:sz w:val="32"/>
          <w:szCs w:val="32"/>
        </w:rPr>
      </w:pPr>
      <w:r>
        <w:rPr>
          <w:rFonts w:hint="eastAsia" w:ascii="宋体" w:hAnsi="宋体"/>
          <w:sz w:val="30"/>
          <w:szCs w:val="30"/>
          <w:lang w:eastAsia="zh-CN"/>
        </w:rPr>
        <w:t>（十二）、</w:t>
      </w:r>
      <w:r>
        <w:rPr>
          <w:rFonts w:hint="eastAsia" w:ascii="宋体" w:hAnsi="宋体"/>
          <w:sz w:val="30"/>
          <w:szCs w:val="30"/>
        </w:rPr>
        <w:t>承办县政府交办的其他事项。</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罗山县交通运输局内设机构7个，包括：办公室、人事股、财务股、政策法规股、建管股、安监股、信访办。</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从决算单位构成看，罗山县交通运输局部门决算包括：本级决算、所属单位决算。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纳入本部门2018年度部门决算编制范围的单位共5个，其中二级预算单位4个,具体是：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1.罗山县交通运输局本级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2.罗山县公路管理局</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3.罗山县道路运输管理局</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4.罗山县农村公路管理所</w:t>
      </w:r>
    </w:p>
    <w:p>
      <w:pPr>
        <w:widowControl/>
        <w:jc w:val="left"/>
        <w:rPr>
          <w:rFonts w:hint="default" w:ascii="仿宋_GB2312" w:hAnsi="仿宋_GB2312" w:eastAsia="仿宋_GB2312" w:cs="仿宋_GB2312"/>
          <w:color w:val="auto"/>
          <w:kern w:val="0"/>
          <w:sz w:val="32"/>
          <w:szCs w:val="32"/>
          <w:highlight w:val="none"/>
          <w:lang w:val="en-US" w:eastAsia="zh-CN"/>
        </w:rPr>
      </w:pPr>
      <w:r>
        <w:rPr>
          <w:rFonts w:hint="eastAsia" w:ascii="黑体" w:hAnsi="宋体" w:eastAsia="黑体" w:cs="宋体"/>
          <w:color w:val="auto"/>
          <w:kern w:val="0"/>
          <w:sz w:val="28"/>
          <w:szCs w:val="28"/>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rPr>
        <w:t xml:space="preserve">  5.罗山县交通运输局执法所</w:t>
      </w:r>
    </w:p>
    <w:p>
      <w:pPr>
        <w:widowControl/>
        <w:jc w:val="left"/>
        <w:rPr>
          <w:rFonts w:hint="default" w:ascii="黑体" w:hAnsi="宋体" w:eastAsia="黑体" w:cs="宋体"/>
          <w:color w:val="auto"/>
          <w:kern w:val="0"/>
          <w:sz w:val="28"/>
          <w:szCs w:val="28"/>
          <w:highlight w:val="none"/>
          <w:lang w:val="en-US" w:eastAsia="zh-CN"/>
        </w:rPr>
        <w:sectPr>
          <w:pgSz w:w="11906" w:h="16838"/>
          <w:pgMar w:top="1440" w:right="1080" w:bottom="1440" w:left="1080" w:header="720" w:footer="720" w:gutter="0"/>
          <w:pgNumType w:fmt="numberInDash"/>
          <w:cols w:space="720" w:num="1"/>
          <w:docGrid w:type="lines" w:linePitch="312" w:charSpace="0"/>
        </w:sect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123" w:bottom="1440" w:left="1123"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504" w:hRule="atLeast"/>
        </w:trPr>
        <w:tc>
          <w:tcPr>
            <w:tcW w:w="13988"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部门：罗山县交通运输局</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63"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b/>
                <w:i w:val="0"/>
                <w:color w:val="000000"/>
                <w:sz w:val="20"/>
                <w:szCs w:val="20"/>
                <w:u w:val="none"/>
                <w:lang w:val="en-US" w:eastAsia="zh-CN"/>
              </w:rPr>
            </w:pPr>
            <w:r>
              <w:rPr>
                <w:rFonts w:hint="eastAsia" w:ascii="宋体" w:hAnsi="宋体" w:eastAsia="宋体" w:cs="宋体"/>
                <w:b w:val="0"/>
                <w:bCs/>
                <w:i w:val="0"/>
                <w:color w:val="000000"/>
                <w:sz w:val="20"/>
                <w:szCs w:val="20"/>
                <w:u w:val="none"/>
                <w:lang w:val="en-US" w:eastAsia="zh-CN"/>
              </w:rPr>
              <w:t>4936.02</w:t>
            </w: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i w:val="0"/>
                <w:color w:val="000000"/>
                <w:sz w:val="20"/>
                <w:szCs w:val="20"/>
                <w:u w:val="none"/>
                <w:lang w:val="en-US" w:eastAsia="zh-CN"/>
              </w:rPr>
            </w:pPr>
            <w:r>
              <w:rPr>
                <w:rFonts w:hint="eastAsia" w:ascii="宋体" w:hAnsi="宋体" w:eastAsia="宋体" w:cs="宋体"/>
                <w:b w:val="0"/>
                <w:bCs/>
                <w:i w:val="0"/>
                <w:color w:val="000000"/>
                <w:sz w:val="20"/>
                <w:szCs w:val="20"/>
                <w:u w:val="none"/>
                <w:lang w:val="en-US" w:eastAsia="zh-CN"/>
              </w:rPr>
              <w:t>4936.02</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519" w:right="1440" w:bottom="1800" w:left="1440" w:header="720" w:footer="720" w:gutter="0"/>
          <w:pgNumType w:fmt="numberInDash"/>
          <w:cols w:space="720" w:num="1"/>
          <w:docGrid w:type="lines" w:linePitch="312" w:charSpace="0"/>
        </w:sectPr>
      </w:pPr>
    </w:p>
    <w:tbl>
      <w:tblPr>
        <w:tblStyle w:val="5"/>
        <w:tblW w:w="13884" w:type="dxa"/>
        <w:tblInd w:w="0" w:type="dxa"/>
        <w:tblLayout w:type="fixed"/>
        <w:tblCellMar>
          <w:top w:w="0" w:type="dxa"/>
          <w:left w:w="0" w:type="dxa"/>
          <w:bottom w:w="0" w:type="dxa"/>
          <w:right w:w="0" w:type="dxa"/>
        </w:tblCellMar>
      </w:tblPr>
      <w:tblGrid>
        <w:gridCol w:w="933"/>
        <w:gridCol w:w="102"/>
        <w:gridCol w:w="90"/>
        <w:gridCol w:w="1271"/>
        <w:gridCol w:w="502"/>
        <w:gridCol w:w="1012"/>
        <w:gridCol w:w="39"/>
        <w:gridCol w:w="464"/>
        <w:gridCol w:w="1050"/>
        <w:gridCol w:w="39"/>
        <w:gridCol w:w="336"/>
        <w:gridCol w:w="1178"/>
        <w:gridCol w:w="39"/>
        <w:gridCol w:w="433"/>
        <w:gridCol w:w="1081"/>
        <w:gridCol w:w="39"/>
        <w:gridCol w:w="313"/>
        <w:gridCol w:w="1201"/>
        <w:gridCol w:w="39"/>
        <w:gridCol w:w="401"/>
        <w:gridCol w:w="1113"/>
        <w:gridCol w:w="39"/>
        <w:gridCol w:w="489"/>
        <w:gridCol w:w="1642"/>
        <w:gridCol w:w="39"/>
      </w:tblGrid>
      <w:tr>
        <w:tblPrEx>
          <w:tblCellMar>
            <w:top w:w="0" w:type="dxa"/>
            <w:left w:w="0" w:type="dxa"/>
            <w:bottom w:w="0" w:type="dxa"/>
            <w:right w:w="0" w:type="dxa"/>
          </w:tblCellMar>
        </w:tblPrEx>
        <w:trPr>
          <w:gridAfter w:val="1"/>
          <w:wAfter w:w="39" w:type="dxa"/>
          <w:trHeight w:val="435" w:hRule="atLeast"/>
        </w:trPr>
        <w:tc>
          <w:tcPr>
            <w:tcW w:w="13845" w:type="dxa"/>
            <w:gridSpan w:val="2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3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gridAfter w:val="1"/>
          <w:wAfter w:w="39" w:type="dxa"/>
          <w:trHeight w:val="300" w:hRule="atLeast"/>
        </w:trPr>
        <w:tc>
          <w:tcPr>
            <w:tcW w:w="391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部门：罗山县交通运输局</w:t>
            </w: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gridAfter w:val="1"/>
          <w:wAfter w:w="39" w:type="dxa"/>
          <w:trHeight w:val="450" w:hRule="atLeast"/>
        </w:trPr>
        <w:tc>
          <w:tcPr>
            <w:tcW w:w="2898"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51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25" w:type="dxa"/>
            <w:gridSpan w:val="3"/>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650"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433"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gridAfter w:val="1"/>
          <w:wAfter w:w="39" w:type="dxa"/>
          <w:trHeight w:val="450" w:hRule="atLeast"/>
        </w:trPr>
        <w:tc>
          <w:tcPr>
            <w:tcW w:w="933"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965"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1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0"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3"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0"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3"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2898"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1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gridAfter w:val="1"/>
          <w:wAfter w:w="39" w:type="dxa"/>
          <w:trHeight w:val="450" w:hRule="atLeast"/>
        </w:trPr>
        <w:tc>
          <w:tcPr>
            <w:tcW w:w="2898"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9.87</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9.87</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2080501</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归口管理的行政单位离退休</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9.87</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9.87</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214</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交通运输支出</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华文中宋" w:hAnsi="华文中宋" w:eastAsia="华文中宋" w:cs="华文中宋"/>
                <w:i w:val="0"/>
                <w:color w:val="000000"/>
                <w:sz w:val="20"/>
                <w:szCs w:val="20"/>
                <w:u w:val="none"/>
                <w:lang w:val="en-US" w:eastAsia="zh-CN"/>
              </w:rPr>
            </w:pPr>
            <w:r>
              <w:rPr>
                <w:rFonts w:hint="eastAsia" w:ascii="华文中宋" w:hAnsi="华文中宋" w:eastAsia="华文中宋" w:cs="华文中宋"/>
                <w:i w:val="0"/>
                <w:color w:val="000000"/>
                <w:sz w:val="20"/>
                <w:szCs w:val="20"/>
                <w:u w:val="none"/>
                <w:lang w:val="en-US" w:eastAsia="zh-CN"/>
              </w:rPr>
              <w:t>4914.78</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4914.78</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2140101</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行政运行</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314.77</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314.77</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2140106</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公路养护</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1153.25</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1153.25</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2140112</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公路运输管理</w:t>
            </w:r>
          </w:p>
        </w:tc>
        <w:tc>
          <w:tcPr>
            <w:tcW w:w="151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3446.76</w:t>
            </w:r>
          </w:p>
        </w:tc>
        <w:tc>
          <w:tcPr>
            <w:tcW w:w="1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3446.76</w:t>
            </w:r>
          </w:p>
        </w:tc>
        <w:tc>
          <w:tcPr>
            <w:tcW w:w="165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1965"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住房保障支出</w:t>
            </w:r>
          </w:p>
        </w:tc>
        <w:tc>
          <w:tcPr>
            <w:tcW w:w="151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11.37</w:t>
            </w:r>
          </w:p>
        </w:tc>
        <w:tc>
          <w:tcPr>
            <w:tcW w:w="142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11.37</w:t>
            </w:r>
          </w:p>
        </w:tc>
        <w:tc>
          <w:tcPr>
            <w:tcW w:w="165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450" w:hRule="atLeast"/>
        </w:trPr>
        <w:tc>
          <w:tcPr>
            <w:tcW w:w="933"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2210201</w:t>
            </w:r>
          </w:p>
        </w:tc>
        <w:tc>
          <w:tcPr>
            <w:tcW w:w="1965"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住房公积金</w:t>
            </w:r>
          </w:p>
        </w:tc>
        <w:tc>
          <w:tcPr>
            <w:tcW w:w="151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11.37</w:t>
            </w:r>
          </w:p>
        </w:tc>
        <w:tc>
          <w:tcPr>
            <w:tcW w:w="142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11.37</w:t>
            </w:r>
          </w:p>
        </w:tc>
        <w:tc>
          <w:tcPr>
            <w:tcW w:w="165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33"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39" w:type="dxa"/>
          <w:trHeight w:val="615" w:hRule="atLeast"/>
        </w:trPr>
        <w:tc>
          <w:tcPr>
            <w:tcW w:w="13845" w:type="dxa"/>
            <w:gridSpan w:val="2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463" w:right="1440" w:bottom="1463"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120"/>
        <w:gridCol w:w="63"/>
        <w:gridCol w:w="27"/>
        <w:gridCol w:w="1849"/>
        <w:gridCol w:w="12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部门：罗山县交通运输局</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0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4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0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30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4936.02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4936.02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2080501</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归口管理的行政单位离退休</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5"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交通运输支出</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华文中宋" w:hAnsi="华文中宋" w:eastAsia="华文中宋" w:cs="华文中宋"/>
                <w:i w:val="0"/>
                <w:color w:val="000000"/>
                <w:sz w:val="20"/>
                <w:szCs w:val="20"/>
                <w:u w:val="none"/>
                <w:lang w:val="en-US" w:eastAsia="zh-CN"/>
              </w:rPr>
              <w:t>4914.78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4914.78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5"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2140101</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行政运行</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314.77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314.77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2140106</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公路养护</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1153.25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1153.25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2140112</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公路运输管理</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3446.76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3446.76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住房保障支出</w:t>
            </w:r>
          </w:p>
        </w:tc>
        <w:tc>
          <w:tcPr>
            <w:tcW w:w="1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2210201</w:t>
            </w:r>
          </w:p>
        </w:tc>
        <w:tc>
          <w:tcPr>
            <w:tcW w:w="18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住房公积金</w:t>
            </w:r>
          </w:p>
        </w:tc>
        <w:tc>
          <w:tcPr>
            <w:tcW w:w="14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11.37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11.37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994"/>
        <w:gridCol w:w="720"/>
        <w:gridCol w:w="1210"/>
        <w:gridCol w:w="3400"/>
        <w:gridCol w:w="597"/>
        <w:gridCol w:w="983"/>
        <w:gridCol w:w="1068"/>
        <w:gridCol w:w="336"/>
        <w:gridCol w:w="1680"/>
      </w:tblGrid>
      <w:tr>
        <w:tblPrEx>
          <w:tblCellMar>
            <w:top w:w="0" w:type="dxa"/>
            <w:left w:w="0" w:type="dxa"/>
            <w:bottom w:w="0" w:type="dxa"/>
            <w:right w:w="0" w:type="dxa"/>
          </w:tblCellMar>
        </w:tblPrEx>
        <w:trPr>
          <w:trHeight w:val="363"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部门：罗山县交通运输局</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47"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5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8"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8"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9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8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3"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98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3"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98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4936.02</w:t>
            </w:r>
          </w:p>
        </w:tc>
        <w:tc>
          <w:tcPr>
            <w:tcW w:w="1404"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4936.02</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63"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519"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7"/>
                <w:sz w:val="20"/>
                <w:szCs w:val="20"/>
                <w:lang w:val="en-US" w:eastAsia="zh-CN" w:bidi="ar"/>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部门：罗山县交通运输局</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8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8"/>
                <w:sz w:val="20"/>
                <w:szCs w:val="20"/>
                <w:lang w:val="en-US" w:eastAsia="zh-CN" w:bidi="ar"/>
              </w:rPr>
              <w:t xml:space="preserve">   </w:t>
            </w:r>
            <w:r>
              <w:rPr>
                <w:rStyle w:val="9"/>
                <w:sz w:val="20"/>
                <w:szCs w:val="20"/>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5"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8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4936.02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2080501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归口管理的行政单位离退休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9.87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交通运输支出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华文中宋" w:hAnsi="华文中宋" w:eastAsia="华文中宋" w:cs="华文中宋"/>
                <w:i w:val="0"/>
                <w:color w:val="000000"/>
                <w:sz w:val="20"/>
                <w:szCs w:val="20"/>
                <w:u w:val="none"/>
                <w:lang w:val="en-US" w:eastAsia="zh-CN"/>
              </w:rPr>
              <w:t>4914.78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4914.78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2140101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3</w:t>
            </w:r>
            <w:r>
              <w:rPr>
                <w:rFonts w:hint="eastAsia" w:ascii="宋体" w:hAnsi="宋体" w:cs="宋体"/>
                <w:i w:val="0"/>
                <w:color w:val="000000"/>
                <w:sz w:val="20"/>
                <w:szCs w:val="20"/>
                <w:u w:val="none"/>
                <w:lang w:val="en-US" w:eastAsia="zh-CN"/>
              </w:rPr>
              <w:t>14.77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ascii="宋体" w:hAnsi="宋体" w:cs="宋体"/>
                <w:i w:val="0"/>
                <w:color w:val="000000"/>
                <w:sz w:val="20"/>
                <w:szCs w:val="20"/>
                <w:u w:val="none"/>
                <w:lang w:val="en-US" w:eastAsia="zh-CN"/>
              </w:rPr>
              <w:t>314.77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2140106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公路养护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1153.25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1153.25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2140112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公路运输管理</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3446.76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3446.76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住房保障支出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11.37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11.37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2210201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住房公积金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11.37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11.37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p>
        </w:tc>
        <w:tc>
          <w:tcPr>
            <w:tcW w:w="2923" w:type="dxa"/>
            <w:tcBorders>
              <w:top w:val="nil"/>
              <w:left w:val="nil"/>
              <w:bottom w:val="nil"/>
              <w:right w:val="nil"/>
            </w:tcBorders>
            <w:noWrap/>
            <w:tcMar>
              <w:top w:w="15" w:type="dxa"/>
              <w:left w:w="15" w:type="dxa"/>
              <w:right w:w="15" w:type="dxa"/>
            </w:tcMar>
            <w:vAlign w:val="center"/>
          </w:tcPr>
          <w:p>
            <w:pPr>
              <w:rPr>
                <w:rFonts w:hint="eastAsia" w:ascii="Arial" w:hAnsi="Arial" w:eastAsia="宋体" w:cs="Arial"/>
                <w:i w:val="0"/>
                <w:color w:val="000000"/>
                <w:sz w:val="20"/>
                <w:szCs w:val="20"/>
                <w:u w:val="none"/>
                <w:lang w:val="en-US" w:eastAsia="zh-CN"/>
              </w:rPr>
            </w:pPr>
            <w:r>
              <w:rPr>
                <w:rFonts w:hint="eastAsia" w:ascii="Arial" w:hAnsi="Arial" w:eastAsia="宋体" w:cs="Arial"/>
                <w:i w:val="0"/>
                <w:color w:val="000000"/>
                <w:sz w:val="20"/>
                <w:szCs w:val="20"/>
                <w:u w:val="none"/>
                <w:lang w:val="en-US" w:eastAsia="zh-CN"/>
              </w:rPr>
              <w:t>罗山县交通运输局</w:t>
            </w: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066"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357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3567.35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1027.88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316.33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1679.07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135.63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610.32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67.50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163.10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5.16</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62.71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235.81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455.58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160.68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26.11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140.02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68.41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230.67</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24.46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244.31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49.00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54.99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133.77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67.38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部门：罗山县交通运输局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214.04</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197.74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77.74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16.30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379.82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364.44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230.67</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133.77</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15.38</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10"/>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812"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罗山县交通运输局</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仿宋_GB2312"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2018年度收、支总计均为4936.02万元。与上年度相比，收、支总计各增加1028.81万元，增长20.8%。主要原因</w:t>
      </w:r>
      <w:r>
        <w:rPr>
          <w:rFonts w:hint="eastAsia" w:ascii="仿宋_GB2312" w:eastAsia="仿宋_GB2312"/>
          <w:sz w:val="32"/>
          <w:szCs w:val="32"/>
        </w:rPr>
        <w:t>一是随着工资制度改革，人员经费支出较上年增加较多；</w:t>
      </w:r>
      <w:r>
        <w:rPr>
          <w:rFonts w:hint="eastAsia" w:ascii="仿宋_GB2312" w:eastAsia="仿宋_GB2312"/>
          <w:sz w:val="32"/>
          <w:szCs w:val="32"/>
          <w:lang w:eastAsia="zh-CN"/>
        </w:rPr>
        <w:t>二是运管体制改革后人员定编补充经费增加；三</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2018年度收入合计4936.02万元，其中：财政拨款收入4936.02万元，占100%。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2018年度支出合计4936.02万元，其中：基本支出4936.02万元，占100%。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2018年度财政拨款收、支总计均为4936.02万元。与上年度相比，财政拨款收、支总计各增加1028.81万元，增长20.8%。主要原因</w:t>
      </w:r>
      <w:r>
        <w:rPr>
          <w:rFonts w:hint="eastAsia" w:ascii="仿宋_GB2312" w:eastAsia="仿宋_GB2312"/>
          <w:sz w:val="32"/>
          <w:szCs w:val="32"/>
        </w:rPr>
        <w:t>一是随着工资制度改革，人员经费支出较上年增加较多；</w:t>
      </w:r>
      <w:r>
        <w:rPr>
          <w:rFonts w:hint="eastAsia" w:ascii="仿宋_GB2312" w:eastAsia="仿宋_GB2312"/>
          <w:sz w:val="32"/>
          <w:szCs w:val="32"/>
          <w:lang w:eastAsia="zh-CN"/>
        </w:rPr>
        <w:t>二是运管体制改革后人员定编补充经费增加；三</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2018年度一般公共预算财政拨款支出4936.02万元，占本年支出合计的100%。与上年度相比，一般公共预算财政拨款支出增加1028.81万元，增长20.8%。主要原因</w:t>
      </w:r>
      <w:r>
        <w:rPr>
          <w:rFonts w:hint="eastAsia" w:ascii="仿宋_GB2312" w:eastAsia="仿宋_GB2312"/>
          <w:sz w:val="32"/>
          <w:szCs w:val="32"/>
        </w:rPr>
        <w:t>一是随着工资制度改革，人员经费支出较上年增加较多；</w:t>
      </w:r>
      <w:r>
        <w:rPr>
          <w:rFonts w:hint="eastAsia" w:ascii="仿宋_GB2312" w:eastAsia="仿宋_GB2312"/>
          <w:sz w:val="32"/>
          <w:szCs w:val="32"/>
          <w:lang w:eastAsia="zh-CN"/>
        </w:rPr>
        <w:t>二是运管体制改革后人员定编补充经费增加；三</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2018年度一般公共预算财政拨款支出4936.02万元，主要用于以下方面：一般公共服务（类）支出4936.02万元，占100%。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2018年度一般公共预算财政拨款支出年初预算为2774.9万元，支出决算为4936.02万元，完成年初预算的177.88。其中：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1．交通运输局支出（类）公路水路运输支出（款）行政运行（项）。</w:t>
      </w:r>
      <w:r>
        <w:rPr>
          <w:rFonts w:hint="eastAsia" w:ascii="仿宋_GB2312" w:hAnsi="仿宋_GB2312" w:eastAsia="仿宋_GB2312" w:cs="仿宋_GB2312"/>
          <w:color w:val="auto"/>
          <w:sz w:val="32"/>
          <w:szCs w:val="32"/>
          <w:highlight w:val="none"/>
          <w:lang w:val="en-US" w:eastAsia="zh-CN"/>
        </w:rPr>
        <w:t>年初预算为</w:t>
      </w:r>
      <w:r>
        <w:rPr>
          <w:rFonts w:hint="eastAsia" w:ascii="仿宋_GB2312" w:hAnsi="宋体" w:eastAsia="仿宋_GB2312" w:cs="Courier New"/>
          <w:sz w:val="32"/>
          <w:szCs w:val="32"/>
          <w:lang w:val="en-US" w:eastAsia="zh-CN"/>
        </w:rPr>
        <w:t>151.6</w:t>
      </w:r>
      <w:r>
        <w:rPr>
          <w:rFonts w:hint="eastAsia" w:ascii="仿宋_GB2312" w:hAnsi="仿宋_GB2312" w:eastAsia="仿宋_GB2312" w:cs="仿宋_GB2312"/>
          <w:color w:val="auto"/>
          <w:sz w:val="32"/>
          <w:szCs w:val="32"/>
          <w:highlight w:val="none"/>
          <w:lang w:val="en-US" w:eastAsia="zh-CN"/>
        </w:rPr>
        <w:t>万元，支出决算为314.77万元，完成年初预算的207.63%。决算数与年初预算数存在差异的主要原因是主要原因</w:t>
      </w:r>
      <w:r>
        <w:rPr>
          <w:rFonts w:hint="eastAsia" w:ascii="仿宋_GB2312" w:eastAsia="仿宋_GB2312"/>
          <w:sz w:val="32"/>
          <w:szCs w:val="32"/>
        </w:rPr>
        <w:t>一是随着工资制度改革，</w:t>
      </w:r>
      <w:r>
        <w:rPr>
          <w:rFonts w:hint="eastAsia" w:ascii="仿宋_GB2312" w:eastAsia="仿宋_GB2312"/>
          <w:i w:val="0"/>
          <w:iCs w:val="0"/>
          <w:sz w:val="32"/>
          <w:szCs w:val="32"/>
        </w:rPr>
        <w:t>人员经费支出较上年增加较多；</w:t>
      </w:r>
      <w:r>
        <w:rPr>
          <w:rFonts w:hint="eastAsia" w:ascii="仿宋_GB2312" w:eastAsia="仿宋_GB2312"/>
          <w:i w:val="0"/>
          <w:iCs w:val="0"/>
          <w:sz w:val="32"/>
          <w:szCs w:val="32"/>
          <w:lang w:eastAsia="zh-CN"/>
        </w:rPr>
        <w:t>二</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2．交通运输局支出（类）公路水路运输支出（款）公路养护（项）。</w:t>
      </w:r>
      <w:r>
        <w:rPr>
          <w:rFonts w:hint="eastAsia" w:ascii="仿宋_GB2312" w:hAnsi="仿宋_GB2312" w:eastAsia="仿宋_GB2312" w:cs="仿宋_GB2312"/>
          <w:color w:val="auto"/>
          <w:sz w:val="32"/>
          <w:szCs w:val="32"/>
          <w:highlight w:val="none"/>
          <w:lang w:val="en-US" w:eastAsia="zh-CN"/>
        </w:rPr>
        <w:t>年初预算为</w:t>
      </w:r>
      <w:r>
        <w:rPr>
          <w:rFonts w:hint="eastAsia" w:ascii="仿宋_GB2312" w:hAnsi="宋体" w:eastAsia="仿宋_GB2312" w:cs="Courier New"/>
          <w:sz w:val="32"/>
          <w:szCs w:val="32"/>
          <w:lang w:val="en-US" w:eastAsia="zh-CN"/>
        </w:rPr>
        <w:t>544.7</w:t>
      </w:r>
      <w:r>
        <w:rPr>
          <w:rFonts w:hint="eastAsia" w:ascii="仿宋_GB2312" w:hAnsi="仿宋_GB2312" w:eastAsia="仿宋_GB2312" w:cs="仿宋_GB2312"/>
          <w:color w:val="auto"/>
          <w:sz w:val="32"/>
          <w:szCs w:val="32"/>
          <w:highlight w:val="none"/>
          <w:lang w:val="en-US" w:eastAsia="zh-CN"/>
        </w:rPr>
        <w:t>万元，支出决算为1153.25万元，完成年初预算的211.72%。决算数与年初预算数存在差异的主要原因</w:t>
      </w:r>
      <w:r>
        <w:rPr>
          <w:rFonts w:hint="eastAsia" w:ascii="仿宋_GB2312" w:eastAsia="仿宋_GB2312"/>
          <w:sz w:val="32"/>
          <w:szCs w:val="32"/>
        </w:rPr>
        <w:t>一是随着工资制度改革，</w:t>
      </w:r>
      <w:r>
        <w:rPr>
          <w:rFonts w:hint="eastAsia" w:ascii="仿宋_GB2312" w:eastAsia="仿宋_GB2312"/>
          <w:i w:val="0"/>
          <w:iCs w:val="0"/>
          <w:sz w:val="32"/>
          <w:szCs w:val="32"/>
        </w:rPr>
        <w:t>人员经费支出较上年增加较多；</w:t>
      </w:r>
      <w:r>
        <w:rPr>
          <w:rFonts w:hint="eastAsia" w:ascii="仿宋_GB2312" w:eastAsia="仿宋_GB2312"/>
          <w:i w:val="0"/>
          <w:iCs w:val="0"/>
          <w:sz w:val="32"/>
          <w:szCs w:val="32"/>
          <w:lang w:eastAsia="zh-CN"/>
        </w:rPr>
        <w:t>二</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eastAsia="仿宋_GB2312"/>
          <w:sz w:val="32"/>
          <w:szCs w:val="32"/>
          <w:lang w:eastAsia="zh-CN"/>
        </w:rPr>
      </w:pPr>
      <w:r>
        <w:rPr>
          <w:rFonts w:hint="eastAsia" w:ascii="仿宋_GB2312" w:hAnsi="仿宋_GB2312" w:eastAsia="仿宋_GB2312" w:cs="仿宋_GB2312"/>
          <w:b/>
          <w:bCs/>
          <w:color w:val="auto"/>
          <w:sz w:val="32"/>
          <w:szCs w:val="32"/>
          <w:highlight w:val="none"/>
          <w:lang w:val="en-US" w:eastAsia="zh-CN"/>
        </w:rPr>
        <w:t>3．交通运输局支出（类）公路水路运输支出（款）公路运输管理（项）。</w:t>
      </w:r>
      <w:r>
        <w:rPr>
          <w:rFonts w:hint="eastAsia" w:ascii="仿宋_GB2312" w:hAnsi="仿宋_GB2312" w:eastAsia="仿宋_GB2312" w:cs="仿宋_GB2312"/>
          <w:color w:val="auto"/>
          <w:sz w:val="32"/>
          <w:szCs w:val="32"/>
          <w:highlight w:val="none"/>
          <w:lang w:val="en-US" w:eastAsia="zh-CN"/>
        </w:rPr>
        <w:t>年初预算为</w:t>
      </w:r>
      <w:r>
        <w:rPr>
          <w:rFonts w:hint="eastAsia" w:ascii="仿宋_GB2312" w:hAnsi="宋体" w:eastAsia="仿宋_GB2312" w:cs="Courier New"/>
          <w:sz w:val="32"/>
          <w:szCs w:val="32"/>
          <w:lang w:val="en-US" w:eastAsia="zh-CN"/>
        </w:rPr>
        <w:t>1988.6</w:t>
      </w:r>
      <w:r>
        <w:rPr>
          <w:rFonts w:hint="eastAsia" w:ascii="仿宋_GB2312" w:hAnsi="仿宋_GB2312" w:eastAsia="仿宋_GB2312" w:cs="仿宋_GB2312"/>
          <w:color w:val="auto"/>
          <w:sz w:val="32"/>
          <w:szCs w:val="32"/>
          <w:highlight w:val="none"/>
          <w:lang w:val="en-US" w:eastAsia="zh-CN"/>
        </w:rPr>
        <w:t>万元，支出决算为3446.76万元，完成年初预算的173.33%。决算数与年初预算数存在差异的主要原因</w:t>
      </w:r>
      <w:r>
        <w:rPr>
          <w:rFonts w:hint="eastAsia" w:ascii="仿宋_GB2312" w:eastAsia="仿宋_GB2312"/>
          <w:sz w:val="32"/>
          <w:szCs w:val="32"/>
        </w:rPr>
        <w:t>一是随着工资制度改革，</w:t>
      </w:r>
      <w:r>
        <w:rPr>
          <w:rFonts w:hint="eastAsia" w:ascii="仿宋_GB2312" w:eastAsia="仿宋_GB2312"/>
          <w:i w:val="0"/>
          <w:iCs w:val="0"/>
          <w:sz w:val="32"/>
          <w:szCs w:val="32"/>
        </w:rPr>
        <w:t>人员经费支出较上年增加较多；</w:t>
      </w:r>
      <w:r>
        <w:rPr>
          <w:rFonts w:hint="eastAsia" w:ascii="仿宋_GB2312" w:eastAsia="仿宋_GB2312"/>
          <w:sz w:val="32"/>
          <w:szCs w:val="32"/>
          <w:lang w:eastAsia="zh-CN"/>
        </w:rPr>
        <w:t>二是运管体制改革后人员定编补充经费增加；</w:t>
      </w:r>
      <w:r>
        <w:rPr>
          <w:rFonts w:hint="eastAsia" w:ascii="仿宋_GB2312" w:eastAsia="仿宋_GB2312"/>
          <w:i w:val="0"/>
          <w:iCs w:val="0"/>
          <w:sz w:val="32"/>
          <w:szCs w:val="32"/>
          <w:lang w:eastAsia="zh-CN"/>
        </w:rPr>
        <w:t>三</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32"/>
          <w:szCs w:val="32"/>
          <w:lang w:eastAsia="zh-CN"/>
        </w:rPr>
        <w:t>４</w:t>
      </w:r>
      <w:r>
        <w:rPr>
          <w:rFonts w:hint="eastAsia" w:ascii="仿宋_GB2312" w:eastAsia="仿宋_GB2312"/>
          <w:sz w:val="32"/>
          <w:szCs w:val="32"/>
          <w:lang w:val="en-US" w:eastAsia="zh-CN"/>
        </w:rPr>
        <w:t>.交通运输局支出（类）社会保障和就业支出（款）归口管理的行政单位离退休（项）。年初预算为8万元，支出决算为9.87万元完成年初预算的 123.38%。</w:t>
      </w:r>
      <w:r>
        <w:rPr>
          <w:rFonts w:hint="eastAsia" w:ascii="仿宋_GB2312" w:hAnsi="仿宋_GB2312" w:eastAsia="仿宋_GB2312" w:cs="仿宋_GB2312"/>
          <w:color w:val="auto"/>
          <w:sz w:val="32"/>
          <w:szCs w:val="32"/>
          <w:highlight w:val="none"/>
          <w:lang w:val="en-US" w:eastAsia="zh-CN"/>
        </w:rPr>
        <w:t>决算数与年初预算数存在差异的主要原因护理费增加。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交通运输局支出（类）住房保障支出（款）住房公积金（项）。年初预算为零，支出决算为11.37万元。</w:t>
      </w:r>
      <w:r>
        <w:rPr>
          <w:rFonts w:hint="eastAsia" w:ascii="仿宋_GB2312" w:hAnsi="仿宋_GB2312" w:eastAsia="仿宋_GB2312" w:cs="仿宋_GB2312"/>
          <w:color w:val="auto"/>
          <w:sz w:val="32"/>
          <w:szCs w:val="32"/>
          <w:highlight w:val="none"/>
          <w:lang w:val="en-US" w:eastAsia="zh-CN"/>
        </w:rPr>
        <w:t>决算数与年初预算数存在差异的主要原因2018年决算数按实际发生数填报。</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4936.02万元。其中：人员经费3908.14万元，主要包括：基本工资、津贴补贴、伙食补助费、绩效工资、机关事业单位基本养老保险缴费、职业年金缴费、职工基本医疗保险缴费、其他社会保障缴费、住房公积金、离休费、抚恤金、生活补助、救济费；公用经费1027.88万元，主要包括：办公费、印刷费、水费、电费、邮电费、物业管理费、差旅费、维修（护）费、租赁费、培训费、公务接待费、劳务费、委托业务费、工会经费、福利费、公务用车运行维护费、其他交通费用、其他商品和服务支出、办公设备购置、专用设备购置、公务用车购置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214.04万元，支出决算为379.82万元，完成预算的177.45%。2018年度“三公”经费支出决算数与预算数存在差异的主要原因是因工作需要，运管局和执法所分别新购一批执法车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0万元；公务用车购置及运行费支出决算364.44万元，完成预算的184.3%，占95.95%；公务接待费支出决算15.38万元，完成预算的94.36%，占4.05%。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年初预算为零万元，支出决算为零万元。2018年因公出国团组数和具体人数皆为零。</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dotDash"/>
          <w:lang w:val="en-US" w:eastAsia="zh-CN"/>
        </w:rPr>
        <w:t>年</w:t>
      </w:r>
      <w:r>
        <w:rPr>
          <w:rFonts w:hint="eastAsia" w:ascii="仿宋_GB2312" w:hAnsi="仿宋_GB2312" w:eastAsia="仿宋_GB2312" w:cs="仿宋_GB2312"/>
          <w:color w:val="auto"/>
          <w:sz w:val="32"/>
          <w:szCs w:val="32"/>
          <w:highlight w:val="none"/>
          <w:lang w:val="en-US" w:eastAsia="zh-CN"/>
        </w:rPr>
        <w:t>初预算为197.74万元，支出决算为364.44万元，完成年初预算的184.3%。决算数与年初预算数存在差异的主要原因是因工作需要，运管局和执法所分别新购一批执法车辆。其中：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公务用车购置支出为</w:t>
      </w:r>
      <w:r>
        <w:rPr>
          <w:rFonts w:hint="eastAsia" w:ascii="仿宋_GB2312" w:hAnsi="仿宋_GB2312" w:eastAsia="仿宋_GB2312" w:cs="仿宋_GB2312"/>
          <w:color w:val="auto"/>
          <w:sz w:val="32"/>
          <w:szCs w:val="32"/>
          <w:highlight w:val="none"/>
          <w:lang w:val="en-US" w:eastAsia="zh-CN"/>
        </w:rPr>
        <w:t>230.67万元，购置车辆23辆，其中执法执勤用车23辆。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133.77万元。主要用于</w:t>
      </w:r>
      <w:r>
        <w:rPr>
          <w:rFonts w:hint="eastAsia" w:ascii="仿宋_GB2312" w:hAnsi="仿宋_GB2312" w:eastAsia="仿宋_GB2312" w:cs="仿宋_GB2312"/>
          <w:sz w:val="32"/>
          <w:szCs w:val="32"/>
          <w:lang w:eastAsia="zh-CN"/>
        </w:rPr>
        <w:t>车辆维修及燃料费</w:t>
      </w:r>
      <w:r>
        <w:rPr>
          <w:rFonts w:hint="eastAsia" w:ascii="仿宋_GB2312" w:hAnsi="仿宋_GB2312" w:eastAsia="仿宋_GB2312" w:cs="仿宋_GB2312"/>
          <w:color w:val="auto"/>
          <w:sz w:val="32"/>
          <w:szCs w:val="32"/>
          <w:highlight w:val="none"/>
          <w:lang w:val="en-US" w:eastAsia="zh-CN"/>
        </w:rPr>
        <w:t>。2018年期末，部门开支财政拨款的公务用车保有量为44辆。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dotDash"/>
          <w:lang w:val="en-US" w:eastAsia="zh-CN"/>
        </w:rPr>
        <w:t>年</w:t>
      </w:r>
      <w:r>
        <w:rPr>
          <w:rFonts w:hint="eastAsia" w:ascii="仿宋_GB2312" w:hAnsi="仿宋_GB2312" w:eastAsia="仿宋_GB2312" w:cs="仿宋_GB2312"/>
          <w:color w:val="auto"/>
          <w:sz w:val="32"/>
          <w:szCs w:val="32"/>
          <w:highlight w:val="none"/>
          <w:lang w:val="en-US" w:eastAsia="zh-CN"/>
        </w:rPr>
        <w:t>初预算为16.3万元，支出决算为15.38万元，完成年初预算的94.36%。决算数与年初预算数存在差异的主要原因是</w:t>
      </w:r>
      <w:r>
        <w:rPr>
          <w:rFonts w:hint="eastAsia" w:ascii="仿宋_GB2312" w:hAnsi="宋体" w:eastAsia="仿宋_GB2312" w:cs="Courier New"/>
          <w:sz w:val="32"/>
          <w:szCs w:val="32"/>
        </w:rPr>
        <w:t>交通运输部门始终坚持勤俭节约、高效精细原则，严格控制各项非工资性支出，确保量入为出，合理支出</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零万元。公务招待中外宾接待团组数及具体人数皆为零。</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15.38万元。主要用于</w:t>
      </w:r>
      <w:r>
        <w:rPr>
          <w:rFonts w:hint="eastAsia" w:ascii="仿宋_GB2312" w:hAnsi="仿宋_GB2312" w:eastAsia="仿宋_GB2312" w:cs="仿宋_GB2312"/>
          <w:sz w:val="32"/>
          <w:szCs w:val="32"/>
          <w:lang w:eastAsia="zh-CN"/>
        </w:rPr>
        <w:t>上级单位检查工作及市内其他交通部门进行业务交流、</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color w:val="auto"/>
          <w:sz w:val="32"/>
          <w:szCs w:val="32"/>
          <w:highlight w:val="none"/>
          <w:lang w:val="en-US" w:eastAsia="zh-CN"/>
        </w:rPr>
        <w:t>。2018年共接待国内来访团组315个、来宾2530人次（不包括陪同人员）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eastAsia="zh-CN"/>
        </w:rPr>
        <w:t>年，我局严格遵循有关规定，在部门自我评价的基础上，根据上级工作要求结合我</w:t>
      </w:r>
      <w:r>
        <w:rPr>
          <w:rFonts w:hint="eastAsia" w:ascii="仿宋_GB2312" w:hAnsi="仿宋_GB2312" w:eastAsia="仿宋_GB2312" w:cs="仿宋_GB2312"/>
          <w:sz w:val="32"/>
          <w:szCs w:val="32"/>
          <w:lang w:eastAsia="zh-CN"/>
        </w:rPr>
        <w:t>局</w:t>
      </w:r>
      <w:r>
        <w:rPr>
          <w:rFonts w:hint="default" w:ascii="仿宋_GB2312" w:hAnsi="仿宋_GB2312" w:eastAsia="仿宋_GB2312" w:cs="仿宋_GB2312"/>
          <w:sz w:val="32"/>
          <w:szCs w:val="32"/>
          <w:lang w:eastAsia="zh-CN"/>
        </w:rPr>
        <w:t>实际，通过选定评价对象、调研项目情况、收集项目资料、完善评价指标、培训评价人员、审核评价报告等一系列规范有序的程序，从预算编制与执行、资金分配与使用、资金监督与管理以及财务会计信息、项目组织管理、项目绩效完成等方面，采取目标预定与实施效果相比较、定量分析和定性分析相结合的方法，对</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eastAsia="zh-CN"/>
        </w:rPr>
        <w:t>个预算单位的预算支出实施了重点绩效评价，客观公正地反映了财政支出总体绩效和存在的主要问题，为下一步有针对性地加强和改进财政资金分配、使用、管理提供了有益参考。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widowControl/>
        <w:numPr>
          <w:ilvl w:val="0"/>
          <w:numId w:val="0"/>
        </w:numPr>
        <w:ind w:firstLine="640" w:firstLineChars="200"/>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建立了绩效评价报告反馈整改和绩效信息公开机制。每个项目绩效评价完成后，向评价单位全体班子成员反馈评价情况，并向政府形成专题报告提出意见和建议。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widowControl/>
        <w:spacing w:beforeLines="0" w:afterLines="0" w:line="590" w:lineRule="exact"/>
        <w:ind w:firstLine="640" w:firstLineChars="200"/>
        <w:jc w:val="left"/>
        <w:rPr>
          <w:rFonts w:hint="eastAsia" w:eastAsia="宋体"/>
          <w:lang w:eastAsia="zh-CN"/>
        </w:rPr>
      </w:pPr>
      <w:r>
        <w:rPr>
          <w:rFonts w:hint="eastAsia" w:ascii="仿宋_GB2312" w:hAnsi="仿宋_GB2312" w:eastAsia="仿宋_GB2312" w:cs="仿宋_GB2312"/>
          <w:color w:val="auto"/>
          <w:sz w:val="32"/>
          <w:szCs w:val="32"/>
          <w:highlight w:val="none"/>
          <w:lang w:val="en-US" w:eastAsia="zh-CN"/>
        </w:rPr>
        <w:t>我部门2018年度没有政府性基金收入，也没有使用政府性基金安排的支出。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2018年度机关运行经费</w:t>
      </w:r>
      <w:r>
        <w:rPr>
          <w:rFonts w:hint="eastAsia" w:ascii="仿宋_GB2312" w:hAnsi="仿宋_GB2312" w:eastAsia="仿宋_GB2312" w:cs="仿宋_GB2312"/>
          <w:color w:val="auto"/>
          <w:sz w:val="32"/>
          <w:szCs w:val="32"/>
          <w:highlight w:val="none"/>
          <w:u w:val="dotDash"/>
          <w:lang w:val="en-US" w:eastAsia="zh-CN"/>
        </w:rPr>
        <w:t>年</w:t>
      </w:r>
      <w:r>
        <w:rPr>
          <w:rFonts w:hint="eastAsia" w:ascii="仿宋_GB2312" w:hAnsi="仿宋_GB2312" w:eastAsia="仿宋_GB2312" w:cs="仿宋_GB2312"/>
          <w:color w:val="auto"/>
          <w:sz w:val="32"/>
          <w:szCs w:val="32"/>
          <w:highlight w:val="none"/>
          <w:lang w:val="en-US" w:eastAsia="zh-CN"/>
        </w:rPr>
        <w:t>初预算为78.4万元，支出决算为102.79万元，完成年初预算的131.11.%。决算数与年初预算数存在差异的主要原因是</w:t>
      </w:r>
      <w:r>
        <w:rPr>
          <w:rFonts w:hint="eastAsia" w:ascii="仿宋_GB2312" w:eastAsia="仿宋_GB2312"/>
          <w:sz w:val="32"/>
          <w:szCs w:val="32"/>
        </w:rPr>
        <w:t>一是随着工资制度改革，人员经费支出较上年增加较多；</w:t>
      </w:r>
      <w:r>
        <w:rPr>
          <w:rFonts w:hint="eastAsia" w:ascii="仿宋_GB2312" w:eastAsia="仿宋_GB2312"/>
          <w:sz w:val="32"/>
          <w:szCs w:val="32"/>
          <w:lang w:eastAsia="zh-CN"/>
        </w:rPr>
        <w:t>二</w:t>
      </w:r>
      <w:r>
        <w:rPr>
          <w:rFonts w:hint="eastAsia" w:ascii="仿宋_GB2312" w:eastAsia="仿宋_GB2312"/>
          <w:sz w:val="32"/>
          <w:szCs w:val="32"/>
        </w:rPr>
        <w:t>是根据工作需要增加了</w:t>
      </w:r>
      <w:r>
        <w:rPr>
          <w:rFonts w:hint="eastAsia" w:ascii="仿宋_GB2312" w:eastAsia="仿宋_GB2312"/>
          <w:sz w:val="32"/>
          <w:szCs w:val="32"/>
          <w:lang w:eastAsia="zh-CN"/>
        </w:rPr>
        <w:t>各项工作</w:t>
      </w:r>
      <w:r>
        <w:rPr>
          <w:rFonts w:hint="eastAsia" w:ascii="仿宋_GB2312" w:eastAsia="仿宋_GB2312"/>
          <w:sz w:val="32"/>
          <w:szCs w:val="32"/>
        </w:rPr>
        <w:t>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2017年度</w:t>
      </w:r>
      <w:r>
        <w:rPr>
          <w:rFonts w:hint="eastAsia" w:ascii="仿宋_GB2312" w:hAnsi="仿宋_GB2312" w:eastAsia="仿宋_GB2312" w:cs="仿宋_GB2312"/>
          <w:sz w:val="32"/>
          <w:szCs w:val="32"/>
          <w:lang w:eastAsia="zh-CN"/>
        </w:rPr>
        <w:t>罗山县交通运输局</w:t>
      </w:r>
      <w:r>
        <w:rPr>
          <w:rFonts w:hint="eastAsia" w:ascii="仿宋_GB2312" w:hAnsi="仿宋_GB2312" w:eastAsia="仿宋_GB2312" w:cs="仿宋_GB2312"/>
          <w:sz w:val="32"/>
          <w:szCs w:val="32"/>
        </w:rPr>
        <w:t>政府采购</w:t>
      </w:r>
      <w:r>
        <w:rPr>
          <w:rFonts w:hint="eastAsia" w:ascii="仿宋_GB2312" w:hAnsi="仿宋_GB2312" w:eastAsia="仿宋_GB2312" w:cs="仿宋_GB2312"/>
          <w:sz w:val="32"/>
          <w:szCs w:val="32"/>
          <w:lang w:eastAsia="zh-CN"/>
        </w:rPr>
        <w:t>没有批复决算数据。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期末，我部门共有车辆44辆，其中：省级领导干部用车0辆、主要领导干部用车0辆、机要通信用车0辆、应急保障车0辆、执法执勤用车43辆、特种专业技术用车0辆、离退休干部用车0辆、其他用车1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五、其他收入：单位六、基本支出：为保障机构正常运转、完成日常工作任务而发生的人员支出和公用支出。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D5A49"/>
    <w:rsid w:val="0FE141DF"/>
    <w:rsid w:val="17F238E3"/>
    <w:rsid w:val="1B9A32D6"/>
    <w:rsid w:val="1F5B3130"/>
    <w:rsid w:val="21971576"/>
    <w:rsid w:val="22DA39EF"/>
    <w:rsid w:val="24C507E9"/>
    <w:rsid w:val="2BF3483B"/>
    <w:rsid w:val="2F4443BF"/>
    <w:rsid w:val="34254664"/>
    <w:rsid w:val="34504AB3"/>
    <w:rsid w:val="491A706D"/>
    <w:rsid w:val="532F6467"/>
    <w:rsid w:val="5533211B"/>
    <w:rsid w:val="5A7C590B"/>
    <w:rsid w:val="60A7470C"/>
    <w:rsid w:val="6D015D0E"/>
    <w:rsid w:val="71187065"/>
    <w:rsid w:val="71D80228"/>
    <w:rsid w:val="73CB26A9"/>
    <w:rsid w:val="74A61746"/>
    <w:rsid w:val="795C2A7E"/>
    <w:rsid w:val="7DCA17F7"/>
    <w:rsid w:val="7DD31188"/>
    <w:rsid w:val="7EDE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6"/>
    <w:qFormat/>
    <w:uiPriority w:val="0"/>
    <w:rPr>
      <w:rFonts w:hint="eastAsia" w:ascii="宋体" w:hAnsi="宋体" w:eastAsia="宋体" w:cs="宋体"/>
      <w:color w:val="000000"/>
      <w:sz w:val="20"/>
      <w:szCs w:val="20"/>
      <w:u w:val="none"/>
    </w:rPr>
  </w:style>
  <w:style w:type="character" w:customStyle="1" w:styleId="8">
    <w:name w:val="font01"/>
    <w:basedOn w:val="6"/>
    <w:uiPriority w:val="0"/>
    <w:rPr>
      <w:rFonts w:hint="eastAsia" w:ascii="宋体" w:hAnsi="宋体" w:eastAsia="宋体" w:cs="宋体"/>
      <w:color w:val="000000"/>
      <w:sz w:val="22"/>
      <w:szCs w:val="22"/>
      <w:u w:val="none"/>
    </w:rPr>
  </w:style>
  <w:style w:type="character" w:customStyle="1" w:styleId="9">
    <w:name w:val="font51"/>
    <w:basedOn w:val="6"/>
    <w:qFormat/>
    <w:uiPriority w:val="0"/>
    <w:rPr>
      <w:rFonts w:hint="eastAsia" w:ascii="宋体" w:hAnsi="宋体" w:eastAsia="宋体" w:cs="宋体"/>
      <w:color w:val="000000"/>
      <w:sz w:val="24"/>
      <w:szCs w:val="24"/>
      <w:u w:val="none"/>
    </w:rPr>
  </w:style>
  <w:style w:type="character" w:customStyle="1" w:styleId="10">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灵山茶</cp:lastModifiedBy>
  <cp:lastPrinted>2021-06-03T07:07:41Z</cp:lastPrinted>
  <dcterms:modified xsi:type="dcterms:W3CDTF">2021-06-03T07:53:40Z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124CE93C099B47E5B45006576F09A400</vt:lpwstr>
  </property>
</Properties>
</file>