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4520" w:after="340" w:line="240" w:lineRule="auto"/>
        <w:ind w:left="0" w:right="0" w:firstLine="1560" w:firstLineChars="300"/>
        <w:jc w:val="both"/>
        <w:rPr>
          <w:sz w:val="52"/>
          <w:szCs w:val="52"/>
        </w:rPr>
      </w:pPr>
      <w:r>
        <w:rPr>
          <w:color w:val="000000"/>
          <w:spacing w:val="0"/>
          <w:w w:val="100"/>
          <w:position w:val="0"/>
          <w:sz w:val="52"/>
          <w:szCs w:val="52"/>
          <w:shd w:val="clear" w:color="auto" w:fill="auto"/>
        </w:rPr>
        <w:t>罗山县发展和改革委员会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40" w:line="240" w:lineRule="auto"/>
        <w:ind w:left="0" w:right="0" w:firstLine="0"/>
        <w:jc w:val="center"/>
        <w:rPr>
          <w:sz w:val="52"/>
          <w:szCs w:val="52"/>
        </w:rPr>
      </w:pPr>
      <w:r>
        <w:rPr>
          <w:rFonts w:hint="eastAsia"/>
          <w:color w:val="000000"/>
          <w:spacing w:val="0"/>
          <w:w w:val="100"/>
          <w:position w:val="0"/>
          <w:sz w:val="52"/>
          <w:szCs w:val="52"/>
          <w:shd w:val="clear" w:color="auto" w:fill="auto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52"/>
          <w:szCs w:val="52"/>
          <w:shd w:val="clear" w:color="auto" w:fill="auto"/>
        </w:rPr>
        <w:t xml:space="preserve"> 年度部门决算</w:t>
      </w: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二〇二〇年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目</w:t>
      </w:r>
      <w:r>
        <w:rPr>
          <w:rFonts w:hint="eastAsia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0"/>
        <w:jc w:val="left"/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第一部分 罗山县发展和改革委员会概况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一、部门职责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二、机构设置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第二部分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2019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 年度部门决算表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一、收入支出决算总表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二、收入决算表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三、支出决算表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四、财政拨款收入支出决算总表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五、一般公共预算财政拨款支出决算表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六、一般公共预算财政拨款基本支出决算表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七、一般公共预算财政拨款“三公”经费支出决算表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八、政府性基金预算财政拨款收入支出决算表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第三部分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2019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 年度部门决算情况说明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一、收入支出决算总体情况说明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二、收入决算情况说明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三、支出决算情况说明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四、财政拨款收入支出决算总体情况说明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五、一般公共预算财政拨款支出决算情况说明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六、一般公共预算财政拨款基本支出决算情况说明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七、一般公共预算财政拨款“三公”经费支出决算情况说明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八、预算绩效情况说明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九、政府性基金预算财政拨款支出决算情况说明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十、机关运行经费支出情况说明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十一、政府采购支出情况说明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十二、国有资产占用情况说明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名词解释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Chars="200" w:right="0" w:rightChars="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4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第一部分 罗山县发展和改革委员会概况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一、主要职责和机构设置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（一）拟订并组织实施国民经济和社会发展战略、中长期规划和年度计划。（二）负责监测宏观经济和社会发展态势，承担预测预警和信息引导的责任。（三）承担指导推进 和综合协调经济体制改革的责任。（四）承担规划重大建设 项目和生产力布局的责任。（五）参与分析研究全县财政、金融运行情况，研究提出政府融资的政策措施。（六）负责拟订全县能源发展战略、规划、政策和年度计划。（七）推进经济结构战略性调整。（八）承担重要商品总量平衡和宏观调控的责任。（九）负责社会发展与国民经济发展的政策衔接。（十）推进可持续发展战略，负责节能减排的综合协 调工作。（十一）承担组织编制全县主体功能区规划并协调 实施和进行监测评估的责任。（十二）承担全县重点项目建设管理和重大建设项目稽察的责任。（十三）组织编制全县国民经济动员规划、计划，组织开展国民经济动员工作。（十四）研究提出现代粮食流通产业发展战略的建议。（十五）拟订全县旅游业管理的规章制度并监督实施。（十六）起草全县国民经济和社会发展、经济体制改革和对外开放的地方性法规草案。（十七）承办县政府交办的其它事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根据上述职责，县发展和改革委员会设 9个内设机构。 （一）办公室（挂政务信息化办公室、国民经济与经济体制 改革综合股、罗山县国民经济动员办公室、服务业发展及经 济运行调节股牌子）；（二）固定资产投资和城市发展股（挂 工业和高新技术产业股牌子）；（三）农村经济股（挂财政 金融贸易及利用外资和境外投资股牌子）；（四）基础产业 及资源节约和综合利用股（挂罗山县节能工作办公室牌子）； （五）社会发展股（挂就业和收入分配办公室牌子）；（六） 罗山县能源局；（七）罗山县重点项目建设办公室；（八） 罗山县粮食局；（九）罗山县以工代赈办公室。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二、部门决算单位构成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4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从决算单位构成看，罗山县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展和改革委会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部门决算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包括：本级决算。纳入本部门2019年度部门决算编制范围的单位共1个，具体是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发改委本级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4"/>
          <w:szCs w:val="44"/>
        </w:rPr>
        <w:sectPr>
          <w:footnotePr>
            <w:numFmt w:val="decimal"/>
          </w:footnotePr>
          <w:pgSz w:w="11900" w:h="16840"/>
          <w:pgMar w:top="1939" w:right="1578" w:bottom="1939" w:left="1750" w:header="6614" w:footer="6614" w:gutter="0"/>
          <w:cols w:space="720" w:num="1"/>
          <w:rtlGutter w:val="0"/>
          <w:docGrid w:linePitch="360" w:charSpace="0"/>
        </w:sectPr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 xml:space="preserve">第二部分 </w:t>
      </w:r>
      <w:r>
        <w:rPr>
          <w:rFonts w:hint="eastAsia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 xml:space="preserve"> 年度部门决算表</w:t>
      </w:r>
      <w:bookmarkEnd w:id="0"/>
      <w:bookmarkEnd w:id="1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收入支出决算总表</w:t>
      </w:r>
    </w:p>
    <w:p>
      <w:pPr>
        <w:ind w:firstLine="12390" w:firstLineChars="59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公开：01表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部门：罗山县发展和改革委员会                                                                                          单位：万元</w:t>
      </w:r>
    </w:p>
    <w:tbl>
      <w:tblPr>
        <w:tblStyle w:val="2"/>
        <w:tblW w:w="140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6"/>
        <w:gridCol w:w="826"/>
        <w:gridCol w:w="1766"/>
        <w:gridCol w:w="4670"/>
        <w:gridCol w:w="749"/>
        <w:gridCol w:w="1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</w:trPr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收入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行次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行次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0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0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一、财政拨款收入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一、一般公共服务支出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14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二、上级补助收入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二、外交支出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15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三、事业收入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三、国防支出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16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四、经营收入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八、社会保障和就业支出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17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五、附属单位上缴收入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九、医疗卫生与计划生育支出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18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六、其他收入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十、节能环保支出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19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7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一、城乡社区支出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十九、住房保障支出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本年收入合计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9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本年支出合计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2567.90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用事业基金弥补收支差额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结余分配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23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年初结转和结余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121.22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年末结转和结余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24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958.38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25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总计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3526.28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总计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26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3526.28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收入决算表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zh-CN"/>
        </w:rPr>
        <w:t xml:space="preserve">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公开02表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11"/>
        </w:tabs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部门：罗山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发展和改革委员会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单位：万元</w:t>
      </w:r>
    </w:p>
    <w:tbl>
      <w:tblPr>
        <w:tblStyle w:val="2"/>
        <w:tblW w:w="138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1805"/>
        <w:gridCol w:w="1454"/>
        <w:gridCol w:w="1368"/>
        <w:gridCol w:w="1387"/>
        <w:gridCol w:w="1637"/>
        <w:gridCol w:w="1642"/>
        <w:gridCol w:w="1642"/>
        <w:gridCol w:w="16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本年收入合计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财政拨款收入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上级补助收入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事业收入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经营收入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附属单位上缴收入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其他收入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22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功能分类 科目编码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一般公共服务支出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2219.07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2219.07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208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社会保障和就业支 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210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医疗卫生与计划生 育支出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城乡社区支出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1100.00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1100.00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221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住房保障支出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  <w:sectPr>
          <w:footerReference r:id="rId6" w:type="first"/>
          <w:footerReference r:id="rId5" w:type="default"/>
          <w:footnotePr>
            <w:numFmt w:val="decimal"/>
          </w:footnotePr>
          <w:pgSz w:w="16840" w:h="11900" w:orient="landscape"/>
          <w:pgMar w:top="1720" w:right="1453" w:bottom="2448" w:left="1381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支出决算表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公开03表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88"/>
        </w:tabs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部门：罗山县发展和改革委员会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单位：万元</w:t>
      </w:r>
    </w:p>
    <w:tbl>
      <w:tblPr>
        <w:tblStyle w:val="2"/>
        <w:tblW w:w="141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8"/>
        <w:gridCol w:w="59"/>
        <w:gridCol w:w="1858"/>
        <w:gridCol w:w="37"/>
        <w:gridCol w:w="1369"/>
        <w:gridCol w:w="23"/>
        <w:gridCol w:w="1899"/>
        <w:gridCol w:w="3"/>
        <w:gridCol w:w="1908"/>
        <w:gridCol w:w="17"/>
        <w:gridCol w:w="1891"/>
        <w:gridCol w:w="37"/>
        <w:gridCol w:w="1865"/>
        <w:gridCol w:w="57"/>
        <w:gridCol w:w="1865"/>
        <w:gridCol w:w="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atLeast"/>
          <w:jc w:val="center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本年支出合计</w:t>
            </w: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基本支出</w:t>
            </w:r>
          </w:p>
        </w:tc>
        <w:tc>
          <w:tcPr>
            <w:tcW w:w="19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项目支出</w:t>
            </w:r>
          </w:p>
        </w:tc>
        <w:tc>
          <w:tcPr>
            <w:tcW w:w="1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上缴上级支出</w:t>
            </w: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经营支出</w:t>
            </w:r>
          </w:p>
        </w:tc>
        <w:tc>
          <w:tcPr>
            <w:tcW w:w="19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对附属单位补助支出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6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功能分类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科目编码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14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栏次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2567.9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525.15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2042.75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201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一般公共服务支出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20104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发展与改革事务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2010401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行政运行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208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社会保障和就业支出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20805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行政事业单位离退休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2080501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归口管理的行政单位离退休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9.85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9.85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20808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抚恤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1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2080801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死亡抚恤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4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20899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其他社会和保障和就业支出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4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2089901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其他社会和保障就业支出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59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210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医疗卫生与计划生育支出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523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21011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行政事业单位医疗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24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2101101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行政单位医疗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59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城乡社区支出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23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21201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城乡社区管理事物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83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2120106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工程建设管理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59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221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住房保障支出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483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22102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住房改革支出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7" w:type="dxa"/>
          <w:trHeight w:val="523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2210201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住房公积金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8862"/>
        </w:tabs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财政拨款收入支出决算总表</w:t>
      </w:r>
    </w:p>
    <w:p>
      <w:pPr>
        <w:ind w:firstLine="12390" w:firstLineChars="59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公开：04表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部门：罗山县发展和改革委员会                                                                                          单位：万元</w:t>
      </w:r>
    </w:p>
    <w:tbl>
      <w:tblPr>
        <w:tblStyle w:val="2"/>
        <w:tblpPr w:leftFromText="180" w:rightFromText="180" w:vertAnchor="text" w:horzAnchor="page" w:tblpX="1288" w:tblpY="89"/>
        <w:tblOverlap w:val="never"/>
        <w:tblW w:w="140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03"/>
        <w:gridCol w:w="720"/>
        <w:gridCol w:w="1210"/>
        <w:gridCol w:w="3398"/>
        <w:gridCol w:w="600"/>
        <w:gridCol w:w="706"/>
        <w:gridCol w:w="1680"/>
        <w:gridCol w:w="16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59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收入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行次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金额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行次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一般公共预算财政 拨款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政府性基金预算财 政拨款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0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60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一、一般公共预算财政拨款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一、一般公共服务支出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二、政府性基金预算财政拨款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二、外交支出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三、国防支出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八、社会保障和就业支出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九、医疗卫生与计划生育支出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十、节能环保支出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城乡建设支出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十九、住房保障支出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本年收入合计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3405.06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本年支出合计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2567.9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年初财政拨款结转和结余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121.22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年末财政拨款结转和结余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958.38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一般公共预算财政拨款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政府性基金预算财政拨款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总计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3526.28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总计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3526.28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955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一般公共预算财政拨款支出决算表</w:t>
      </w:r>
    </w:p>
    <w:p>
      <w:pPr>
        <w:ind w:firstLine="12390" w:firstLineChars="59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公开：05表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部门：罗山县发展和改革委员会                                                                                          单位：万元</w:t>
      </w:r>
    </w:p>
    <w:tbl>
      <w:tblPr>
        <w:tblStyle w:val="2"/>
        <w:tblW w:w="140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1"/>
        <w:gridCol w:w="2506"/>
        <w:gridCol w:w="3172"/>
        <w:gridCol w:w="3446"/>
        <w:gridCol w:w="34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项目</w:t>
            </w:r>
          </w:p>
        </w:tc>
        <w:tc>
          <w:tcPr>
            <w:tcW w:w="100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本年支出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2" w:lineRule="exact"/>
              <w:ind w:left="30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功能分类 科目编码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小计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基本支出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栏次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exact"/>
        </w:trPr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2567.9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525.15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2042.75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一般公共服务支出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20104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发展与改革事务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2010401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行政运行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1452.03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439.16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1012.87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208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社会保障和就业支出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20805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行政事业单位离退休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2080501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归口管理的行政单位离退休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20808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抚恤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2080801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死亡抚恤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21.95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20899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其他社会和保障就业支出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2089901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其他社会和保障就业支出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210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医疗卫生与计划生育支出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21011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行政事业单位医疗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2101101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行政单位医疗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城乡社区支出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21201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城乡社区管理事务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2120106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工程建设管理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1029.88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221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住房保障支出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22102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住房改革支出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2210201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住房公积金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framePr w:w="14006" w:h="5813" w:vSpace="302" w:wrap="notBeside" w:vAnchor="text" w:hAnchor="page" w:x="1438" w:y="288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6" w:h="5813" w:vSpace="302" w:wrap="notBeside" w:vAnchor="text" w:hAnchor="page" w:x="1438" w:y="288"/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</w:tbl>
    <w:p>
      <w:pPr>
        <w:pStyle w:val="7"/>
        <w:keepNext w:val="0"/>
        <w:keepLines w:val="0"/>
        <w:framePr w:w="3058" w:h="269" w:hSpace="10948" w:wrap="notBeside" w:vAnchor="text" w:hAnchor="text" w:y="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7"/>
        <w:keepNext w:val="0"/>
        <w:keepLines w:val="0"/>
        <w:framePr w:w="1042" w:h="269" w:hSpace="12964" w:wrap="notBeside" w:vAnchor="text" w:hAnchor="text" w:x="129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widowControl w:val="0"/>
        <w:spacing w:line="1" w:lineRule="exact"/>
        <w:rPr>
          <w:rFonts w:hint="eastAsia" w:ascii="仿宋" w:hAnsi="仿宋" w:eastAsia="仿宋" w:cs="仿宋"/>
          <w:sz w:val="21"/>
          <w:szCs w:val="21"/>
        </w:rPr>
        <w:sectPr>
          <w:headerReference r:id="rId7" w:type="default"/>
          <w:footerReference r:id="rId8" w:type="default"/>
          <w:footnotePr>
            <w:numFmt w:val="decimal"/>
          </w:footnotePr>
          <w:pgSz w:w="16840" w:h="11900" w:orient="landscape"/>
          <w:pgMar w:top="1904" w:right="1417" w:bottom="2753" w:left="1417" w:header="1476" w:footer="3" w:gutter="0"/>
          <w:cols w:space="720" w:num="1"/>
          <w:rtlGutter w:val="0"/>
          <w:docGrid w:linePitch="360" w:charSpace="0"/>
        </w:sect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一般公共预算财政拨款基本支出决算表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公开06表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部门： 罗山县发展和改革委员会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单位：万元</w:t>
      </w:r>
    </w:p>
    <w:tbl>
      <w:tblPr>
        <w:tblStyle w:val="2"/>
        <w:tblW w:w="140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6"/>
        <w:gridCol w:w="2942"/>
        <w:gridCol w:w="1104"/>
        <w:gridCol w:w="869"/>
        <w:gridCol w:w="2064"/>
        <w:gridCol w:w="1195"/>
        <w:gridCol w:w="614"/>
        <w:gridCol w:w="3182"/>
        <w:gridCol w:w="13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经济分 类科目 编码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经济分类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科目编码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经济 分类 科目 编码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科目名称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工资福利支出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415.89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商品和服务支出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61.89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资本性支出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30101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基本工资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226.39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办公费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9.57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31001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房屋建筑物购建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30102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津贴补贴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20.02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30202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印刷费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31002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办公设备购置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30103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奖金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50.63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30203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咨询费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31003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专用设备购置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30106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伙食补助费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30204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手续费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31005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基础设施建设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30107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绩效工资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13.35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30205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水费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0.03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31006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大型修缮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30108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机关事业单位基本养老保险费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8.79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30206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电费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31007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信息网络及软件购置更新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30109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职业年金缴费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30207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邮电费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31008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物资储备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30110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职工基本医疗保险缴费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30208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取暖费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31009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土地补偿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30111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公务员医疗补助缴费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30209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物业管理费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3.13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31010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安置补助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30112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其他社会保障缴费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差旅费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31011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地上附着物和青苗补偿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30113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住房公积金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30212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因公出国（境）费用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31012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拆迁补偿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30114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医疗费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30213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维修（护）费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31013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30199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其他工资福利支出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29.36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30214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租赁费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31019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其他交通工具购置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对个人和家庭的补助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42.05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30215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会议费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31021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文物和陈列品购置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30301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离休费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9.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30216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培训费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4.99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31022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无形资产购置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tbl>
      <w:tblPr>
        <w:tblStyle w:val="2"/>
        <w:tblW w:w="140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6"/>
        <w:gridCol w:w="2942"/>
        <w:gridCol w:w="1104"/>
        <w:gridCol w:w="869"/>
        <w:gridCol w:w="2064"/>
        <w:gridCol w:w="1195"/>
        <w:gridCol w:w="614"/>
        <w:gridCol w:w="3182"/>
        <w:gridCol w:w="13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30302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退休费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30217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公务招待费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69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31099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其他资本性支出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30303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退职（役）费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30218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专用材料费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对企业补助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30304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抚恤金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30224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被装购置费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31201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资本金注入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30305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生活补助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27.60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30225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专用燃料费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31203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政府投资基金股权投资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30306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救济费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30226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劳务费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31204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费用补贴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30307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医疗费补助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3.51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30227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委托业务费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31205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利息补贴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30308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助学金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30228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工会经费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11.13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31299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其他对企业补助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30309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奖励金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30229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福利费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313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对社会保障基金补助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30310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个人农业生产补贴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30231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公务用车运行维护费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4.39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31302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对社会保险基金补助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30399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对其他个人和家庭的补助支出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30239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其他交通费用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31303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补充全国社会保障基金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30240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税金及附加费用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399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其他支出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30299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其他商品和服务支出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0.45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39906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赠与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307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债务利息及费用支出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39907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国家赔偿费用支出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30701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国内债务付息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39908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对民间非营利组织和群众性自治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组织补贴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30702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国外债务付息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39999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其他支出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30703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国内债务发行费用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30704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国外债务发行费用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人员经费合计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457.94</w:t>
            </w:r>
          </w:p>
        </w:tc>
        <w:tc>
          <w:tcPr>
            <w:tcW w:w="7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公用经费合计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67.21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>注：本表反映部门本年度的总收支和年末结转结余情况。本表金额转换为万元时，因四舍五入可能存在尾差。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center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一般公共预算财政拨款“三公“经费支出决算表””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80" w:line="240" w:lineRule="auto"/>
        <w:ind w:left="0" w:right="0" w:firstLine="0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公开07表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773"/>
        </w:tabs>
        <w:bidi w:val="0"/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部门：罗山县发展和改革委员会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单位：万元</w:t>
      </w:r>
    </w:p>
    <w:tbl>
      <w:tblPr>
        <w:tblStyle w:val="2"/>
        <w:tblW w:w="1382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7"/>
        <w:gridCol w:w="1152"/>
        <w:gridCol w:w="1147"/>
        <w:gridCol w:w="1152"/>
        <w:gridCol w:w="1152"/>
        <w:gridCol w:w="1147"/>
        <w:gridCol w:w="1152"/>
        <w:gridCol w:w="1152"/>
        <w:gridCol w:w="1152"/>
        <w:gridCol w:w="1147"/>
        <w:gridCol w:w="1152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690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预算数</w:t>
            </w:r>
          </w:p>
        </w:tc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因公出国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（境）费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公务用车购置及运行费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公务接待费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合计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因公出国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（境）费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公务用车购置及运行费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公务接待费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小计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 购置费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 运行费</w:t>
            </w:r>
          </w:p>
        </w:tc>
        <w:tc>
          <w:tcPr>
            <w:tcW w:w="11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小计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 购置费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公务用车 运行费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7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9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11.14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4.4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1.08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4.39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4.39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69</w:t>
            </w:r>
          </w:p>
        </w:tc>
      </w:tr>
    </w:tbl>
    <w:p>
      <w:pPr>
        <w:widowControl w:val="0"/>
        <w:spacing w:after="79" w:line="1" w:lineRule="exac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10" w:firstLineChars="10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注：本表反映部门本年度“三公”经费支出预决算情况。其中，预算数为“三公”经费年初预算数，决算数是包括当年一般公共预算财政拨款和以前年度结转 资金安排的实际支出。本表金额转换为万元时，因四舍五入可能存在尾差。</w:t>
      </w:r>
      <w:r>
        <w:rPr>
          <w:rFonts w:hint="eastAsia" w:ascii="仿宋" w:hAnsi="仿宋" w:eastAsia="仿宋" w:cs="仿宋"/>
          <w:sz w:val="21"/>
          <w:szCs w:val="21"/>
        </w:rPr>
        <w:br w:type="page"/>
      </w:r>
    </w:p>
    <w:tbl>
      <w:tblPr>
        <w:tblStyle w:val="2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480"/>
        <w:gridCol w:w="1332"/>
        <w:gridCol w:w="1926"/>
        <w:gridCol w:w="1926"/>
        <w:gridCol w:w="1926"/>
        <w:gridCol w:w="1927"/>
        <w:gridCol w:w="1926"/>
        <w:gridCol w:w="1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政府性基金预算财政拨款收入支出决算表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公开08表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部门：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罗山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县发展和改革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委员会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项    目</w:t>
            </w:r>
          </w:p>
        </w:tc>
        <w:tc>
          <w:tcPr>
            <w:tcW w:w="19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年初结转和结余</w:t>
            </w:r>
          </w:p>
        </w:tc>
        <w:tc>
          <w:tcPr>
            <w:tcW w:w="19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本年收入</w:t>
            </w:r>
          </w:p>
        </w:tc>
        <w:tc>
          <w:tcPr>
            <w:tcW w:w="577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本年支出</w:t>
            </w:r>
          </w:p>
        </w:tc>
        <w:tc>
          <w:tcPr>
            <w:tcW w:w="19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年末结转和结余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2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功能分类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科目编码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科目名称</w:t>
            </w: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19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基本支出</w:t>
            </w:r>
          </w:p>
        </w:tc>
        <w:tc>
          <w:tcPr>
            <w:tcW w:w="19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项目支出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2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栏次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24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8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注：本表反映部门本年度政府性基金预算财政拨款收入、支出及结转和结余情况。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88" w:type="dxa"/>
            <w:gridSpan w:val="9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tabs>
          <w:tab w:val="left" w:pos="9552"/>
        </w:tabs>
        <w:bidi w:val="0"/>
        <w:jc w:val="left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说明：我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单位</w:t>
      </w:r>
      <w:r>
        <w:rPr>
          <w:rFonts w:hint="eastAsia" w:ascii="仿宋" w:hAnsi="仿宋" w:eastAsia="仿宋" w:cs="仿宋"/>
          <w:sz w:val="21"/>
          <w:szCs w:val="21"/>
        </w:rPr>
        <w:t>没有政府性基金收入，也没有使用政府性基金安排的支出，故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本表数据为0.</w:t>
      </w:r>
    </w:p>
    <w:p>
      <w:pPr>
        <w:bidi w:val="0"/>
        <w:rPr>
          <w:rFonts w:hint="eastAsia" w:ascii="Courier New" w:hAnsi="Courier New" w:eastAsia="Courier New" w:cs="Courier New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58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05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58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3526.28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万元，支出总计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入总计增加2355.86万元，增长224%，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总计增加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2355.86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sz w:val="32"/>
          <w:szCs w:val="32"/>
        </w:rPr>
        <w:t>%。 收支增减变动主要原因是发改委增加了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项目支出及承担的重点项目和跑项争资工作任务越来越繁重，同时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因物价办合并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正常运转开支同步增大。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二、关于收入决算情况说明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年度收入合计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3405.06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万元，其中：财政拨款收入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3405.06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 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三、关于支出决算情况说明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年度支出合计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2567.90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20.50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%，项目支出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2042.75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79.50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关于财政拨款收入支出决算总体情况说明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财政拨款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3526.28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万元，支出总计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入总计增加2355.86万元，增长224%，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总计增加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2355.86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主要原因是增加了政府项目支出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年末有结转，主要原因是有部分项目未完工。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五、关于一般公共预算财政拨款支出决算情况说明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（一）财政拨款支出决算总体情况。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年一般公共预算财政拨款支出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2567.90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万元，占支出合计的 100%。与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年相比，一般公共预算财政拨款支出增加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1518.70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万元，增长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（二）财政拨款支出决算结构情况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年度一般公共预算财政拨款支出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2567.90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 用于以下方面：一般公共服务支出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1452.03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%； 社会保障和就业支出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(类）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%；医疗卫生与计划生育支出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18.89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万元，占1%；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城乡社区支出（类）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1029.88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（三）财政拨款支出决算具体情况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年度一般公共预算财政拨款支出年初预算为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757.69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 元，支出决算为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2567.90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万元，完成年初预算的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339</w:t>
      </w:r>
      <w:r>
        <w:rPr>
          <w:rFonts w:hint="eastAsia" w:ascii="仿宋_GB2312" w:hAnsi="仿宋_GB2312" w:eastAsia="仿宋_GB2312" w:cs="仿宋_GB2312"/>
          <w:sz w:val="32"/>
          <w:szCs w:val="32"/>
        </w:rPr>
        <w:t>%。决算数 大于预算数的主要原因：增加了政府项目资金。其中：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（类）发展与改革事务（款）行政运行（项）。 年初预算为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670.29万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元，支出决算为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1452.03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万元，完成年初预算的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216</w:t>
      </w:r>
      <w:r>
        <w:rPr>
          <w:rFonts w:hint="eastAsia" w:ascii="仿宋_GB2312" w:hAnsi="仿宋_GB2312" w:eastAsia="仿宋_GB2312" w:cs="仿宋_GB2312"/>
          <w:sz w:val="32"/>
          <w:szCs w:val="32"/>
        </w:rPr>
        <w:t>%。决算数大于预算数的主要原因是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增加了财政拨入的政府重点项目前期工作经费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2、社会保障和就业支出（类）行政事业单位离退休（款）归口管理的行政单位离退休（项）年初预算18.95万元，支出决算为9.85万元，完成年初预算的52%，主要原因是有离休人员死亡；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3、社会保障和就业支出（类）抚恤（款）死亡抚恤（项）年初预算0万元，支出决算为21.95万元，主要原因是有离休人员死亡；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4、社会保障和就业支出（类）其他社会和保障就业支出（款）其他社会和保障就业支出（项）年初预算为8.2万元，支出决算共计为8.2万元，完成年初预算的100%。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5、医疗卫生与计划生育支出（类）行政事业单位医疗（款）行政单位医疗（项）年初预算为25.17万元，支出决算为18.89万元，完成年初预算的75%，主要原因是单位人员因工作调动，人员经费减少。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6、城乡社区支出（类）城乡社区管理事务（款）工程建设管理（项）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年初预算为 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，支出决算为1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029.88万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元，主要原因为财政增拨的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政府基础设施项目专项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7、住房保障支出（类）住房改革支出（款）住房公积金（项）年初预算为35.08万元，支出决算为27.10万元，完成年初预算的77%，支出决算小于年初预算的主要原因是单位人员因工作调动，人员经费减少。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六、关于一般公共预算财政拨款基本支出决算情况说明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年一般公共预算财政拨款基本支出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525.15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万元，其中： 人员经费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457.94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万元，主要包括：基本工资、津贴补贴、养老 保险缴费、离休费、退休费、抚恤金、遗属生活补助、医疗费、 住房公积金等。公用经费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万元，主要包括：办公费、印 刷费、水费、电费、邮电费、物业管理费、差旅费、维修费、 公务接待费、工会经费、公务用车运行维护费及其他商品服务支出等。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七、关于一般公共预算财政拨款“三公”经费支出决算情况说明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（一）“三公”经费财政拨款支出决算总体情况说明。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年度“三公”经费财政拨款支出年初预算为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 支出决算为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1.08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2019 年度“三公”经费支出决算数与预算数存在差异的主要原因是厉行节约，公车运行维护费和公务接待费支出减少。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年度“三公”经费财政拨款支出决算数比201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预算数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%，其中：公务用车购置及运行费支出决算减少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sz w:val="32"/>
          <w:szCs w:val="32"/>
        </w:rPr>
        <w:t>%；公务用车购置及运行费支出减少的主要原因是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厉行节约，公务用车运行维护费支出减少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。公务接待费支出决算减少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按规定开支的各类公务接待支出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“三公”经费财政拨款支出决算具体情况说明。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1.因公出国（境）费年初预算为0万元，支出决算为0万元。全年因公出国（境）团组 0 组，累计 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2.公务用车购置及运行费年初预算为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99.7</w:t>
      </w:r>
      <w:r>
        <w:rPr>
          <w:rFonts w:hint="eastAsia" w:ascii="仿宋_GB2312" w:hAnsi="仿宋_GB2312" w:eastAsia="仿宋_GB2312" w:cs="仿宋_GB2312"/>
          <w:sz w:val="32"/>
          <w:szCs w:val="32"/>
        </w:rPr>
        <w:t>%，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决算数与预算数存在差异的主要原因是公车运行维护费支出减少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公务用车购置支出为0万元，购置车辆 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公务用车运行支出年初预算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为4.4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万元。主要用于开展工作所需用车的燃油费、保险费、维修费、过桥过路费等支出。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年期末，部门开支的公务用车保有量为1 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公务接待费支出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年年初预算为6.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万元，支出决算为 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万元。完成年初预算的 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%，决算数与预算数存在差异的主要原因是单位严格按规定开支，公务接待费支出减少。其中：外宾接待支出0万元。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年共接待国（境）外来访团组0 个，来访外宾 0 人次（不包括陪同人员）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其他国内公务接待支出6.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年度共接待国内来访团组 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个、来访人员 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人次（不包括陪同人员）。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关于预算绩效情况说明 </w:t>
      </w:r>
    </w:p>
    <w:p>
      <w:pPr>
        <w:widowControl/>
        <w:numPr>
          <w:ilvl w:val="0"/>
          <w:numId w:val="4"/>
        </w:numPr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绩效管理工作开展情况。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严格遵循有关规定，在自我评价的基础上，根据上级工作要求结合我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实际，通过选定评价对象、调研项目情况、收集项目资料、完善评价指标、培训评价人员、审核评价报告等一系列规范有序的程序，从预算编制与执行、资金分配与使用、资金监督与管理以及财务会计信息、项目组织管理、项目绩效完成等方面，采取目标预定与实施效果相比较、定量分析和定性分析相结合的方法，对单位的预算支出实施了重点绩效评价，客观公正地反映了财政支出总体绩效和存在的主要问题，为下一步有针对性地加强和改进财政资金分配、使用、管理提供了有益参考。</w:t>
      </w:r>
    </w:p>
    <w:p>
      <w:pPr>
        <w:widowControl/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（二）项目绩效自评结果。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建立了绩效评价报告反馈整改和绩效信息公开机制。每个项目绩效评价完成后，向评价单位全体班子成员反馈评价情况，并向政府形成专题报告提出意见和建议。</w:t>
      </w:r>
    </w:p>
    <w:p>
      <w:pPr>
        <w:widowControl/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（三）重点绩效评价结果。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outlineLvl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年度单位无重点绩效评价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九、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关于政府性基金预算财政拨款支出决算情况说明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年度政府性基金预算财政拨款支出年初预算为0.00万元，支出决算为 0.00 万元。本部门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年度未发生政府性基金预算财政拨款收支业务，故本表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数据为0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年度机关运行经费支出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增加了8.05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的主要原因是：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机构改革，与原物价部门合并，人员增多，机关运行经费相应增加。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政府采购支出情况。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政府采购支出总额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9.17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9.17</w:t>
      </w:r>
      <w:r>
        <w:rPr>
          <w:rFonts w:hint="eastAsia" w:ascii="仿宋" w:hAnsi="仿宋" w:eastAsia="仿宋" w:cs="仿宋"/>
          <w:sz w:val="32"/>
          <w:szCs w:val="32"/>
        </w:rPr>
        <w:t>万元、政府采购工程支出0万元、政府采购服务支出0万元。授予中小企业合同金额0万元，其中：授予小微企业合同金额0万元。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十二、国有资产占用情况。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国有资产占用情况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辆、一般执法执勤用车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辆、特种用途车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辆。单价50万元以上通用设备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套，单位价值100万元以上专用设备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罗山县发展和改革委员会决算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一、财政拨款收入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：是指市直财政当年拨付的资金。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三、一般公共服务（类）发展与改革事务（款）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：是指委 用于保障机构正常运行、开展业务等活动的支出。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（一）行政运行（项）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：是指为保障委正常运转、完成日 常工作任务安排的支出。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（二）机关服务（项）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：是指为委机关提供后勤保障服务 的的支出。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四、年末结转和结余</w:t>
      </w:r>
      <w:r>
        <w:rPr>
          <w:rFonts w:hint="eastAsia" w:ascii="仿宋_GB2312" w:hAnsi="仿宋_GB2312" w:eastAsia="仿宋_GB2312" w:cs="仿宋_GB2312"/>
          <w:sz w:val="32"/>
          <w:szCs w:val="32"/>
        </w:rPr>
        <w:t>：指本年度或以前年度预算安排、因 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五、基本支出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：指为保障机构正常运转、完成日常工作任 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六、“三公”经费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：是指纳入财政预算管理，部门使用财 政拨款安排的因公出国（境）费、公务用车购置及运行费和公 务接待费。其中，因公出国（境）费反映单位公务出国（境） 的住宿费、旅费、伙食补助费、杂费、培训费等支出；公务用 车购置及运行费反映单位公务用车购置费及租用费、燃料费、 维修费、过路过桥费、保险费、安全奖励费用等支出；公务接 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七、机关运行经费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：为保障行政单位（含参照公务员法管 理的事业单位）运行用于购买货物和服务的各项资金，包括办 公及印刷费、邮电费、差旅费、会议费、福利费、日常维修费 专用材料及一般设备购置费、办公用房水电费、办公用房取暖 费、办公用房物业管理费、公务用车运行维护费以及其他费用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八、工资福利支出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：单位支付给在职职工和编制外长期聘 用人员的各类劳动报酬，以及为上述人员缴纳的各项社会保险 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九、商品和服务支出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：单位购买商品和服务的支出。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十、对个人和家庭的补助支出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：单位用于对个人和家庭的 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十一、年末结转</w:t>
      </w:r>
      <w:r>
        <w:rPr>
          <w:rFonts w:hint="eastAsia" w:ascii="仿宋_GB2312" w:hAnsi="仿宋_GB2312" w:eastAsia="仿宋_GB2312" w:cs="仿宋_GB2312"/>
          <w:sz w:val="32"/>
          <w:szCs w:val="32"/>
        </w:rPr>
        <w:t>：本年度或以前年度预算安排，已执行但 尚未完成或因客观条件发生变化无法按原计划实施，需延迟到 以后年度按有关规定继续使用的资金。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十二、年末结余</w:t>
      </w:r>
      <w:r>
        <w:rPr>
          <w:rFonts w:hint="eastAsia" w:ascii="仿宋_GB2312" w:hAnsi="仿宋_GB2312" w:eastAsia="仿宋_GB2312" w:cs="仿宋_GB2312"/>
          <w:sz w:val="32"/>
          <w:szCs w:val="32"/>
        </w:rPr>
        <w:t>：本年度或以前年度预算安排，已执行完 毕或因客观条件发生变化无法按原预算安排实施，不需要再使 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pBdr>
          <w:bottom w:val="single" w:color="auto" w:sz="4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20" w:line="660" w:lineRule="exact"/>
        <w:ind w:left="0" w:right="0" w:firstLine="0"/>
        <w:jc w:val="left"/>
        <w:textAlignment w:val="auto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信息公开选项：依申请公开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60" w:lineRule="exact"/>
        <w:ind w:left="0" w:right="0" w:firstLine="14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抄送：财政局办公室、各部门预算股室、各乡镇（街道办事处）、监督检查局。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5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40" w:line="660" w:lineRule="exact"/>
        <w:ind w:left="0" w:right="0" w:firstLine="14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罗山县国库股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ab/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zh-CN"/>
        </w:rPr>
        <w:t xml:space="preserve">                                            </w:t>
      </w:r>
      <w:r>
        <w:rPr>
          <w:rFonts w:ascii="Book Antiqua" w:hAnsi="Book Antiqua" w:eastAsia="Book Antiqua" w:cs="Book Antiqua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20</w:t>
      </w:r>
      <w:r>
        <w:rPr>
          <w:rFonts w:hint="eastAsia" w:ascii="Book Antiqua" w:hAnsi="Book Antiqua" w:eastAsia="宋体" w:cs="Book Antiqua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/>
        </w:rPr>
        <w:t>20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zh-CN"/>
        </w:rPr>
        <w:t>10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日发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9" w:type="default"/>
          <w:footerReference r:id="rId10" w:type="default"/>
          <w:footnotePr>
            <w:numFmt w:val="decimal"/>
          </w:footnotePr>
          <w:pgSz w:w="16840" w:h="11900" w:orient="landscape"/>
          <w:pgMar w:top="1525" w:right="1293" w:bottom="1332" w:left="1298" w:header="862" w:footer="6" w:gutter="0"/>
          <w:cols w:space="0" w:num="1"/>
          <w:rtlGutter w:val="0"/>
          <w:docGrid w:linePitch="360" w:charSpace="0"/>
        </w:sect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5593"/>
        </w:tabs>
        <w:bidi w:val="0"/>
        <w:spacing w:before="0" w:after="340" w:line="240" w:lineRule="auto"/>
        <w:ind w:left="0" w:right="0" w:firstLine="140"/>
        <w:jc w:val="left"/>
        <w:rPr>
          <w:sz w:val="26"/>
          <w:szCs w:val="26"/>
        </w:rPr>
      </w:pPr>
    </w:p>
    <w:p>
      <w:pPr>
        <w:tabs>
          <w:tab w:val="left" w:pos="10587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6064885</wp:posOffset>
              </wp:positionV>
              <wp:extent cx="55867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</w:rPr>
                            <w:t>注：本表反映部门本年度取得的各项收入情况。本表金额转换为万元时，因四舍五入可能存在尾差。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3.85pt;margin-top:477.55pt;height:9.85pt;width:439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FnyD1wAA&#10;AAwBAAAPAAAAAAAAAAEAIAAAACIAAABkcnMvZG93bnJldi54bWxQSwECFAAUAAAACACHTuJABtzI&#10;V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>注：本表反映部门本年度取得的各项收入情况。本表金额转换为万元时，因四舍五入可能存在尾差。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6009005</wp:posOffset>
              </wp:positionV>
              <wp:extent cx="60960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</w:rPr>
                            <w:t>注：本表反映部门本年度的总收支和年末结转结余情况。本表金额转换为万元时，因四舍五入可能存在尾差。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0.25pt;margin-top:473.15pt;height:9.85pt;width:480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60YXWAAAA&#10;DAEAAA8AAAAAAAAAAQAgAAAAIgAAAGRycy9kb3ducmV2LnhtbFBLAQIUABQAAAAIAIdO4kA5oEro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>注：本表反映部门本年度的总收支和年末结转结余情况。本表金额转换为万元时，因四舍五入可能存在尾差。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5808345</wp:posOffset>
              </wp:positionV>
              <wp:extent cx="622109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10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</w:rPr>
                            <w:t>注：本表反映部门本年度一般公共预算财政拨款支出情况。本表金额转换为万元时，因四舍五入可能存在尾差。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2.05pt;margin-top:457.35pt;height:9.85pt;width:489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cpZc3XAAAA&#10;DAEAAA8AAAAAAAAAAQAgAAAAIgAAAGRycy9kb3ducmV2LnhtbFBLAQIUABQAAAAIAIdO4kDfsE1P&#10;rAEAAHI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</w:rPr>
                      <w:t>注：本表反映部门本年度一般公共预算财政拨款支出情况。本表金额转换为万元时，因四舍五入可能存在尾差。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9947910</wp:posOffset>
              </wp:positionV>
              <wp:extent cx="113030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94.1pt;margin-top:783.3pt;height:9.1pt;width:8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P9cg1wAA&#10;AA0BAAAPAAAAAAAAAAEAIAAAACIAAABkcnMvZG93bnJldi54bWxQSwECFAAUAAAACACHTuJANFl8&#10;Oa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EF0D2"/>
    <w:multiLevelType w:val="singleLevel"/>
    <w:tmpl w:val="9BEEF0D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309BF2"/>
    <w:multiLevelType w:val="singleLevel"/>
    <w:tmpl w:val="AF309BF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FF20B0A"/>
    <w:multiLevelType w:val="singleLevel"/>
    <w:tmpl w:val="DFF20B0A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F4ABF269"/>
    <w:multiLevelType w:val="singleLevel"/>
    <w:tmpl w:val="F4ABF2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D715973"/>
    <w:multiLevelType w:val="singleLevel"/>
    <w:tmpl w:val="7D71597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5CDA"/>
    <w:rsid w:val="10BE5CDA"/>
    <w:rsid w:val="118110D4"/>
    <w:rsid w:val="13552B0F"/>
    <w:rsid w:val="161E34A0"/>
    <w:rsid w:val="24BF1E77"/>
    <w:rsid w:val="287F45B3"/>
    <w:rsid w:val="395F6207"/>
    <w:rsid w:val="41F919E6"/>
    <w:rsid w:val="48636DC9"/>
    <w:rsid w:val="49EF13F4"/>
    <w:rsid w:val="4F8243CB"/>
    <w:rsid w:val="6A7A50D5"/>
    <w:rsid w:val="6B35697C"/>
    <w:rsid w:val="71AF2191"/>
    <w:rsid w:val="7E4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qFormat/>
    <w:uiPriority w:val="0"/>
    <w:pPr>
      <w:widowControl w:val="0"/>
      <w:shd w:val="clear" w:color="auto" w:fill="FFFFFF"/>
      <w:spacing w:line="442" w:lineRule="auto"/>
      <w:ind w:firstLine="400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FFFFFF"/>
      <w:spacing w:line="442" w:lineRule="auto"/>
      <w:ind w:firstLine="400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6">
    <w:name w:val="标题 #1"/>
    <w:basedOn w:val="1"/>
    <w:qFormat/>
    <w:uiPriority w:val="0"/>
    <w:pPr>
      <w:widowControl w:val="0"/>
      <w:shd w:val="clear" w:color="auto" w:fill="FFFFFF"/>
      <w:jc w:val="center"/>
      <w:outlineLvl w:val="0"/>
    </w:pPr>
    <w:rPr>
      <w:rFonts w:ascii="黑体" w:hAnsi="黑体" w:eastAsia="黑体" w:cs="黑体"/>
      <w:sz w:val="48"/>
      <w:szCs w:val="48"/>
      <w:u w:val="none"/>
      <w:lang w:val="zh-CN" w:eastAsia="zh-CN" w:bidi="zh-CN"/>
    </w:rPr>
  </w:style>
  <w:style w:type="paragraph" w:customStyle="1" w:styleId="7">
    <w:name w:val="表格标题"/>
    <w:basedOn w:val="1"/>
    <w:qFormat/>
    <w:uiPriority w:val="0"/>
    <w:pPr>
      <w:widowControl w:val="0"/>
      <w:shd w:val="clear" w:color="auto" w:fill="FFFFFF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8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2021-06-04T10:13:00Z</dcterms:created>
  <dc:creator>漠然</dc:creator>
  <cp:lastModifiedBy>生如夏花</cp:lastModifiedBy>
  <cp:lastPrinted>2021-06-21T05:39:12Z</cp:lastPrinted>
  <dcterms:modified xsi:type="dcterms:W3CDTF">2021-06-21T05:46:12Z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68058EE520F54CB9BB4D9BEBE1DB151D</vt:lpwstr>
  </property>
</Properties>
</file>