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  <w:bookmarkStart w:id="0" w:name="bookmark0"/>
      <w:bookmarkStart w:id="1" w:name="bookmark2"/>
      <w:bookmarkStart w:id="2" w:name="bookmark1"/>
    </w:p>
    <w:p>
      <w:pPr>
        <w:pStyle w:val="5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21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关于支持种养业标准化生产的实施意见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征求意见稿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）</w:t>
      </w:r>
    </w:p>
    <w:bookmarkEnd w:id="21"/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为加快乡村振兴战略，深入推进农业供给侧结构性改革，进一步提升我县农业标准化生产水平，全面提高农产品 的产量、质量安全和竞争力，争创一批名优特品牌，促进县 域经济持续健康发展和农民稳步有效增收，结合我县农业产 业发展的实际情况，现就支持种养业标准化生产提出如下实 施意见。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8"/>
          <w:szCs w:val="28"/>
        </w:rPr>
        <w:t>—、总体思路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leftChars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紧紧围绕农业供给侧结构性改革，以农业增效、农民增 收为目标，以全面提升农产品质量为重点，不断强化政府主 导、科技支撑、利益联结、农户联动的作用，引导全县农业 生产经营主体（种养殖大户、家庭农场、专业合作社和农业 公司等，下同）逐渐走上优质化、规模化、标准化、现代化 的农业发展新路子，在全县构建起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产有标准、产品有标 识、质量有检测、市场有监管”的种养殖标准化新格局，推 动农村产业发展迈上新的台阶，全面提升我县农产品的质量 安全水平和市场竞争力。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二、认定标准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720" w:line="596" w:lineRule="exact"/>
        <w:ind w:right="0" w:firstLine="744" w:firstLineChars="266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坚持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“政府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推动、市场引导、企业带动、农民实施”的 原则，结合我县农业产业规划，鼓励全县农业生产经营主体 开展规范化、规模化种养殖，重点抓好优质稻米（渔稻米、 再生稻米）、茶叶、油茶、蔬菜、弱筋小麦、花生等主要农 产品标准化示范基地建设。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8"/>
        <w:gridCol w:w="893"/>
        <w:gridCol w:w="727"/>
        <w:gridCol w:w="799"/>
        <w:gridCol w:w="799"/>
        <w:gridCol w:w="799"/>
        <w:gridCol w:w="749"/>
        <w:gridCol w:w="706"/>
        <w:gridCol w:w="821"/>
        <w:gridCol w:w="7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罗山县主要农产品集中连片规范化生产基地认定标准</w:t>
            </w:r>
          </w:p>
        </w:tc>
      </w:tr>
      <w:tr>
        <w:trPr>
          <w:trHeight w:val="6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品 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稻米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茶叶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油茶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蔬菜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弱筋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小麦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花生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优质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稻米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渔稻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再生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稻米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设施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露地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种植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0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达标面积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（*亩以上）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300</w:t>
            </w:r>
          </w:p>
        </w:tc>
      </w:tr>
    </w:tbl>
    <w:p>
      <w:pPr>
        <w:widowControl w:val="0"/>
        <w:spacing w:after="399" w:line="1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11" w:lineRule="exact"/>
        <w:ind w:left="22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上述标准化示范基地2021年完成标准制定、修订及规 范工作，并及时抓好标准宣传和推广落实，基本实现产、加、 销全过程标准化管理体系，形成一整套具有我县特色的农产 品质量标准。示范基地农户及龙头企业必须按标准组织生 产、加工，在源头上保证农产品质量安全，并通过大力实施 品牌战略，使我县农业走上优质高效的路子，大幅提高农业 经济整体实力。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三、支持政策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22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自2021年起，集中力量建设一批规范标准的农产品种 养殖基地，扶持壮大龙头企业，培育壮大品牌创建主体，发 挥龙头企业组织化、产业化优势，打造具有较强竞争力的产 业化联合体和企业品牌。符合条件的农业生产经营主体可向 所在乡镇（街道）申报，经乡镇（街道）审核同意后，分别 由县农业农村局（负责稻米、蔬菜产业）、林茶局（负责茶 叶、油茶产业）、农科所（负责弱筋小麦、花生产业）牵头 组织项目评审和达标验收。达到标准要求、未享受其他政策 性补贴的，2021年按以下标准进行奖补：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60" w:line="598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1、鼓励建设标准化种养殖基地。凡达到上述认定标准 的产业基地，通过适当扶持，按以下方向（技术规程见《罗 山县主要农产品规范化生产技术达标要点》，附后）推进标 准化基地建设的予以奖补（见下表）：（1）引导种植优良 品种，推广适合我县种养殖的特色粮油作物等优良品种，加 快品种改良与更新换代，提高良种覆盖率，加快促进罗山农 业产业提质增效。（2）支持推进升级改造，主要是集成组 装绿色高产高效技术模式，推广物理防治和生物防治病虫 害、测土配方施肥、节水灌溉、施用生物有机肥等技术，以 及机械插秧、机械采茶、二次机械收割等生产技术提升的， 全面推进农业产业在现有基础上提档升级。（3）鼓励推行 规范管理，运用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一、简化、协调、选优”原则，通过制 订和实施标准，带动全县农业生产经营主体把农业产、加、 销的各个环节全面纳入标准生产和标准管理的轨道，真正把 先进的科学技术和成熟的种养殖经验提炼成全县农业发展 的标准，推广应用到农业生产和经营活动中，把科技成果转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br w:type="page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化为现实的生产力，取得经济、社会和生态的最佳效益，达 到高产、优质、高效的产业发展目标。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罗山县主要农产品规范化生产支持政策一览表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1361"/>
        <w:gridCol w:w="1375"/>
        <w:gridCol w:w="1555"/>
        <w:gridCol w:w="1123"/>
        <w:gridCol w:w="14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产业名称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建设性质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支持政策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（**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元/亩）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带贫资金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提取比例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奖补标准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带贫后增补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合计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优质稻米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新 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5" w:lineRule="exac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均按奖补 总金额的 10%提取带 贫助贫资 金，重点用 于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 xml:space="preserve">“两类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户”等增加 收入。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渔稻米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改造升级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310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再生稻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新 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175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弱筋小麦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新 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45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茶叶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新 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550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改造升级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440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油茶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新 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550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改造升级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440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蔬菜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设施种植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8000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8800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露地种植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330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花生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新 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175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 w:val="0"/>
        <w:spacing w:after="419" w:line="1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20" w:line="619" w:lineRule="exact"/>
        <w:ind w:left="180" w:right="0" w:firstLine="620"/>
        <w:jc w:val="both"/>
        <w:rPr>
          <w:rFonts w:hint="eastAsia" w:ascii="仿宋" w:hAnsi="仿宋" w:eastAsia="仿宋" w:cs="仿宋"/>
          <w:sz w:val="28"/>
          <w:szCs w:val="28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32" w:right="1500" w:bottom="1558" w:left="1941" w:header="0" w:footer="3" w:gutter="0"/>
          <w:pgNumType w:start="2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2、支持设备购置和配套设施建设。（1）新建标准储粮 仓房（厂房）参照农产品加工流通业扶持政策进行奖补。（2 ） 新建标准化育秧工厂（连栋大棚）5000平方米以上，购置育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200" w:right="0" w:firstLine="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秧播种生产线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条以上，每平方米奖补6元（按奖补总金额 的10%提取带贫助贫资金）。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606" w:lineRule="exact"/>
        <w:ind w:left="0" w:right="0" w:firstLine="820"/>
        <w:jc w:val="both"/>
        <w:rPr>
          <w:rFonts w:hint="eastAsia" w:ascii="仿宋" w:hAnsi="仿宋" w:eastAsia="仿宋" w:cs="仿宋"/>
          <w:sz w:val="28"/>
          <w:szCs w:val="28"/>
        </w:rPr>
      </w:pPr>
      <w:bookmarkStart w:id="3" w:name="bookmark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3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鼓励市场主体争创品牌。对新获得国家有机产品认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7882"/>
        </w:tabs>
        <w:bidi w:val="0"/>
        <w:spacing w:before="0" w:after="0" w:line="606" w:lineRule="exact"/>
        <w:ind w:left="200" w:right="0" w:firstLine="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证的，奖励15万元；获得绿色食品认证的，奖励10万元； 获得地理标志产品认证的，奖励20万元。对新获得市级、 省级、国家级示范性合作社、家庭农场、农业产业化龙头企 业的，分别奖励3万元、8万元、20万元。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-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606" w:lineRule="exact"/>
        <w:ind w:left="20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bookmarkStart w:id="4" w:name="bookmark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4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鼓励市场主体助贫带贫。支持市场主体积极履行社 会责任，主动助贫带贫。对积极参与助贫带贫的，项目同等 条件下优先审批，并按照巩固脱贫攻坚成果的相关要求适当 增加奖补标准。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599" w:lineRule="exact"/>
        <w:ind w:left="20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bookmarkStart w:id="5" w:name="bookmark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5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探索金融扶持方式措施。积极推动在罗金融机构围 绕农业标准化体系建设和涉农产业链上下游发展需求，创新 信贷支持产品和服务模式，有效解决农业生产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资难、融 资贵”等问题，帮助打开农副产品生产、销售渠道，提升罗 山农产品市场知名度。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四、保障措施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20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bookmarkStart w:id="6" w:name="bookmark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1</w:t>
      </w:r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、扎实做好技术服务。建立县级专业技术科技人员服 务乡镇（街道）、各乡镇（街道）技术人员服务到村、村级 农民技术员服务到组、科技示范户带动农户的四级科技推广 服务体系，培养一批新型标准化生产科技人才。坚持适时、 适用、有效的原则，把科技培训、服务、指导工作培训到村、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3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讲座到组、指导到户。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369"/>
        </w:tabs>
        <w:bidi w:val="0"/>
        <w:spacing w:before="0" w:after="0" w:line="610" w:lineRule="exact"/>
        <w:ind w:left="30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bookmarkStart w:id="7" w:name="bookmark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聚力抓好示范带动。以示范基地建设为抓手，辐射 带动与全面发展相结合，助推农业标准化生产全覆盖。采取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300" w:right="0" w:firstLine="1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“三统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一分”（统一标准、统一培训、统一服务、分户实施） 的方式，建立县、乡、村三级技术员上下联动、齐抓共管、 责任到人的责任制，把示范基地的农产品品质、亩均效益、 示范效果作为考核的主要指标，逐步形成组有示范田、村有 示范园、乡有示范区的农业标准化示范生产局面。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369"/>
        </w:tabs>
        <w:bidi w:val="0"/>
        <w:spacing w:before="0" w:after="0" w:line="610" w:lineRule="exact"/>
        <w:ind w:left="300" w:right="0" w:firstLine="640"/>
        <w:jc w:val="both"/>
        <w:rPr>
          <w:rFonts w:hint="eastAsia" w:ascii="仿宋" w:hAnsi="仿宋" w:eastAsia="仿宋" w:cs="仿宋"/>
          <w:sz w:val="28"/>
          <w:szCs w:val="28"/>
        </w:rPr>
        <w:sectPr>
          <w:footerReference r:id="rId7" w:type="default"/>
          <w:footerReference r:id="rId8" w:type="even"/>
          <w:footnotePr>
            <w:numFmt w:val="decimal"/>
          </w:footnotePr>
          <w:type w:val="continuous"/>
          <w:pgSz w:w="11900" w:h="16840"/>
          <w:pgMar w:top="1532" w:right="1500" w:bottom="1558" w:left="1941" w:header="0" w:footer="3" w:gutter="0"/>
          <w:cols w:space="720" w:num="1"/>
          <w:rtlGutter w:val="0"/>
          <w:docGrid w:linePitch="360" w:charSpace="0"/>
        </w:sectPr>
      </w:pPr>
      <w:bookmarkStart w:id="8" w:name="bookmark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3</w:t>
      </w:r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建立监督考核机制。种养业标准化生产牵头部门要 定期召开联席会议，及时协调解决在推行标准化生产技术中 遇到的相关问题。同时，对各乡镇（街道）标准化生产落实 情况进行月检查、季督查、年终考核，检查情况要及时进行 通报。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leftChars="0" w:right="0" w:firstLine="0" w:firstLineChars="0"/>
        <w:jc w:val="both"/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38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9" w:name="bookmark11"/>
      <w:bookmarkStart w:id="10" w:name="bookmark9"/>
      <w:bookmarkStart w:id="11" w:name="bookmark1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罗山县主要农产品规范化生产技术达标要点</w:t>
      </w:r>
      <w:bookmarkEnd w:id="9"/>
      <w:bookmarkEnd w:id="10"/>
      <w:bookmarkEnd w:id="11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一、稻米系列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after="0" w:line="598" w:lineRule="exact"/>
        <w:ind w:left="20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2" w:name="bookmark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1</w:t>
      </w:r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优质稻米。（1）引导向经专家评定的适合我县种植 的优质水稻品种适当集中，原则上必须从龙两优月牙丝苗、 兆优5431、野香优海丝、万象优111、兆优6377等5个品 种中选择种植方可享受奖补政策；（2）集中连片种植必须 达200亩以上。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after="0" w:line="598" w:lineRule="exact"/>
        <w:ind w:left="20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3" w:name="bookmark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</w:t>
      </w:r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渔稻米。（1 ）将原稻虾共作为基础的种养基地升级 为稻蟹、稻鳖、稻敏、稻鱼等共作模式，并种植优质稻米品 种；（2）根据田块面积大小，在其四周开挖有渔沟（根据 田块大小，可采取一方、两方、三方或四方挖沟，确保渔沟 面积占比不超过10%），以备养殖渔类的栖息生长；（3）安 装有防逃及防盗设施。其中稻虾、稻蟹、稻鳖共作稻田四周， 要建有防逃膜、防逃网等防逃及防盗设施；（4）建设有完 善的进排水设施，进排水口有过滤装置；（5）须连续正常 生产经营三年以上；（6）集中连片规模必须达200亩以上;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38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（7）奖补总额一般不超过项目投资总额的20%。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71"/>
        </w:tabs>
        <w:bidi w:val="0"/>
        <w:spacing w:before="0" w:after="280" w:line="612" w:lineRule="exact"/>
        <w:ind w:left="20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4" w:name="bookmark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3</w:t>
      </w:r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再生稻米。（1 ）必须为优质稻米品种；（2 ）集中 连片种植必须达200亩以上。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8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上述标准中，一般只享受单项奖补；但在优质稻种植基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础上再发展再生稻的，可连续享受两项奖补。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二、茶叶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76"/>
        </w:tabs>
        <w:bidi w:val="0"/>
        <w:spacing w:before="0" w:after="0" w:line="606" w:lineRule="exact"/>
        <w:ind w:left="20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5" w:name="bookmark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1</w:t>
      </w:r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新建。（I）应选择适合我县栽植的信阳10号、白 毫早、乌牛早、舒茶早、龙井43、福鼎大白、薮北茶等高产 优质无性系良种；（2 ）行距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0.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3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- 0.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5米，株距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0. 15-0.2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米，亩栽6000株左右；（3）茶园建设要实行统一规划、规 模生产、因地制宜、完善措施。要搞好道路、水利、管理用 房等配套设施建设。在茶园周围和园内路旁、沟边栽植防护 林、营造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气候”环境，创造茶树良好的生长条件；（4） 全面推行物理防治和生物防治病虫害，全面推行机采机收；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3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（5）集中连片规模必须达200亩以上。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76"/>
        </w:tabs>
        <w:bidi w:val="0"/>
        <w:spacing w:before="0" w:after="0" w:line="605" w:lineRule="exact"/>
        <w:ind w:left="200" w:right="0" w:firstLine="620"/>
        <w:jc w:val="both"/>
        <w:rPr>
          <w:rFonts w:hint="eastAsia" w:ascii="仿宋" w:hAnsi="仿宋" w:eastAsia="仿宋" w:cs="仿宋"/>
          <w:sz w:val="28"/>
          <w:szCs w:val="28"/>
        </w:rPr>
        <w:sectPr>
          <w:footnotePr>
            <w:numFmt w:val="decimal"/>
          </w:footnotePr>
          <w:pgSz w:w="11900" w:h="16840"/>
          <w:pgMar w:top="1486" w:right="1650" w:bottom="1834" w:left="1790" w:header="0" w:footer="3" w:gutter="0"/>
          <w:cols w:space="720" w:num="1"/>
          <w:rtlGutter w:val="0"/>
          <w:docGrid w:linePitch="360" w:charSpace="0"/>
        </w:sectPr>
      </w:pPr>
      <w:bookmarkStart w:id="16" w:name="bookmark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</w:t>
      </w:r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改造升级。（1）改树，台刈严重衰老茶树，抽刈衰 老和半衰老茶树，重修剪半衰老和未老先衰的茶树；（2 ） 改土，全园深耕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30-40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厘米，有条件的可以实行抽槽换土， 槽深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50-60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厘米，槽宽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40-50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厘米，上下土壤要求交换，改 造后茶园施厩肥或滙肥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40-50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担/亩，或磷肥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100-500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千 克/亩；（3）改管，全面推行物理防治和生物防治病虫害, 改造后全面推行机采机收；（4 ）集中连片规模必须达200 亩以上。另外，根据单户茶园总面积按照改造面积和奖补总 量控制相结合，5000亩以下改造提升全部完成的最高奖补不 超过100万元；茶园改造提升全部完成且面积超过5000亩 的，一般可再增加不超过20万元。奖补总额一般不超过项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目投资总额的20%。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</w:pPr>
      <w:bookmarkStart w:id="17" w:name="bookmark17"/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三</w:t>
      </w:r>
      <w:bookmarkEnd w:id="17"/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、油茶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1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1、新建。（1）主要推广我市选定的优良品种有：长林 4号、18号、40号、53号；豫油茶1号和2号；大别山1 号、华鑫、华硕和红花油茶；（2）挖穴规格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60 x 60 x 60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厘 米为宜，每穴施农家肥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10-20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千克或饼肥1千克或复合肥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0.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3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- 0.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5千克，然后回填表土； （3）栽植密度以行距选择 3米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x （3.5-4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米）的造林密度，每亩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56 - 64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株为宜；（4） 修建配套的灌溉设施、辅助生产路、标牌、排水沟渠、坑塘 等；（5）探索应用油茶机采技术；（6）集中连片规模必须 达500亩以上。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2、改造升级。（1 ）依据《油茶低产林改造技术标准》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1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LY/T/1935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- 2011 ）和《油茶低效林改造技术规程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»（DB41/T 1229 - 2016 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的要求，对油茶低产低效林进行抚育改造和更 新改造；（2）抚育改造主要是针对林相相对整齐，林分结 构合理，生长势旺盛，老、劣、病、残植株占全林的1/3以 下，但管理不到位，每亩年产油量在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10kg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以下的林分。根 据具体情况采取林地清理、垦复、蓄水保土、施肥、密林疏 伐、修枝整形等措施进行改造；（3）更新改造主要针对林 相不整齐，林分结构不合理，疏密不均，长期荒芜，杂灌丛 生，树势衰弱，老、劣、病、残植株占全林的2/3以上，品 种差，基本不结果的林分。根据具体情况采取空隙地补植、 垦复、施肥等技术措施，并对补植的幼树进行抚育，促进其 快速生长；（4）全面推行物理防治和生物防治病虫害，探 索应用油茶机采技术；（5）集中连片规模必须达500亩以 上。另外，根据单户油茶园总面积按照改造面积和奖补总量 控制相结合，5000亩以下改造提升全部完成的最高奖补不超 过100万元；油茶园改造提弁全部完成且面积超过5000亩 的，一般可再增加不超过20万元。奖补总额一般不超过项 目投资总额的20%。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</w:pPr>
      <w:bookmarkStart w:id="18" w:name="bookmark18"/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四</w:t>
      </w:r>
      <w:bookmarkEnd w:id="18"/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、蔬菜系列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1、设施蔬菜。（1）薄膜型智能温室：①主体规格：檐 高＞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3. 0m,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脊高＞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5. 0m,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外遮阳高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2 5.5m。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每拱跨度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2 6.0m,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开间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》4.0m。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②结构材料：钢结构骨架使用屈服强度》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235MPa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的优质钢材，所有钢架及构件均采用热镀锌材料，并 经防老化、耐腐蚀处理。③覆盖材料：使用适合南方气候特 点的长寿型薄膜，厚度＞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0.15mm,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透光率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＞85%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vertAlign w:val="subscript"/>
          <w:lang w:val="en-US" w:eastAsia="en-US" w:bidi="en-US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④遮阳系 统：可根据生产用途选择安装至少1层针织遮阳网，并配备 控制系统。⑤降温系统：水帘厚度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2 10cm,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蜂窝孔直径V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9mm;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风机排风量＞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40000m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vertAlign w:val="superscript"/>
          <w:lang w:val="en-US" w:eastAsia="en-US" w:bidi="en-US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/h,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并视生产需要加装防虫网。⑥排水: 水槽须用热浸镀锌或热浸镀锌板冷弯成型，壁厚不少于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 8mm,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并满足最大排雨量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＞120mm/h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的要求；落水管为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PVC,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直径＞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110mm;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（2）拱形钢架大棚：①主骨架采用热镀锌钢 管，棚体高度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＞2. 8m.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宽度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＞6. Om,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拱间距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＜1.3m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vertAlign w:val="subscript"/>
          <w:lang w:val="en-US" w:eastAsia="en-US" w:bidi="en-US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②覆盖 层采用适合生产需要的塑料薄膜，并视生产需要选用针织遮 阳网；（3）连拱钢架大棚：①大棚跨度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＞6m,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肩高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＞2m,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顶高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＞3. 6m,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开间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＜4m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vertAlign w:val="subscript"/>
          <w:lang w:val="en-US" w:eastAsia="en-US" w:bidi="en-US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②水槽需用热浸镀锌或热浸镀锌板 冷弯成型，壁厚不少于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1.8mm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vertAlign w:val="subscript"/>
          <w:lang w:val="en-US" w:eastAsia="en-US" w:bidi="en-US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③覆盖层采用适合生产需要 的长寿型塑料薄膜，并视生产需要选用针织遮阳网；（4） 必须达到50亩以上；（5）须连续正常生产经营三年以上。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2、露地蔬菜。（1）全年正常生产且须实行差异化种植， 主要生产季节种植品类须在5种以上且单一品种占比不超过 50%; （2）集中连片种植须达到200亩以上；（3）须连续 正常生产经营三年以上。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8"/>
        </w:tabs>
        <w:bidi w:val="0"/>
        <w:spacing w:before="0" w:after="0" w:line="599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9" w:name="bookmark19"/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五</w:t>
      </w:r>
      <w:bookmarkEnd w:id="19"/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弱筋小麦。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（1）选用通过国家或河南省农作物品 种审定委员会审定、适宜在信阳稻茬麦区种植的弱筋小麦品 种，重点选用郑麦113、郑麦103、扬麦15、扬麦13等；（2） 采用机械条播，适期播种时，播种量每亩控制在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15kg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左右；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（3）按照《罗山县弱筋小麦标准化生产规程》进行生产管 理；（4）实现单种、单收、单贮；（5）集中连片种植须达 到300亩以上。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8"/>
        </w:tabs>
        <w:bidi w:val="0"/>
        <w:spacing w:before="0" w:after="0" w:line="596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0" w:name="bookmark20"/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六</w:t>
      </w:r>
      <w:bookmarkEnd w:id="20"/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黑体" w:hAnsi="黑体" w:eastAsia="黑体" w:cs="黑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</w:rPr>
        <w:t>花生。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（1）选用通过国家或河南省农作物品种审 定委员会审定，适应本种植地区生态条件的优质高产、抗病、 高油或高油酸品种，重点选用豫花37、远杂9102、信花425、 豫花22、深花8号等</w:t>
      </w:r>
      <w:r>
        <w:rPr>
          <w:rFonts w:hint="eastAsia" w:ascii="仿宋" w:hAnsi="仿宋" w:eastAsia="仿宋" w:cs="仿宋"/>
          <w:i/>
          <w:iCs/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个品种；（2 ）采用机械化起垄种植, 实现全程机械化生产；（3）按照《罗山县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“三坡”地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花生 标准化生产规程》进行生产管理；（4）集中连片种植须达 到300亩以上。</w:t>
      </w:r>
    </w:p>
    <w:sectPr>
      <w:footerReference r:id="rId9" w:type="default"/>
      <w:footerReference r:id="rId10" w:type="even"/>
      <w:footnotePr>
        <w:numFmt w:val="decimal"/>
      </w:footnotePr>
      <w:type w:val="continuous"/>
      <w:pgSz w:w="11900" w:h="16840"/>
      <w:pgMar w:top="1486" w:right="1650" w:bottom="1834" w:left="179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6399530</wp:posOffset>
              </wp:positionH>
              <wp:positionV relativeFrom="page">
                <wp:posOffset>9831705</wp:posOffset>
              </wp:positionV>
              <wp:extent cx="5461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61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503.9pt;margin-top:774.15pt;height:8.3pt;width:4.3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93MAdNkAAAAPAQAA&#10;DwAAAAAAAAABACAAAAA4AAAAZHJzL2Rvd25yZXYueG1sUEsBAhQAFAAAAAgAh07iQN+vdheQAQAA&#10;IwMAAA4AAAAAAAAAAQAgAAAAP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1324610</wp:posOffset>
              </wp:positionH>
              <wp:positionV relativeFrom="page">
                <wp:posOffset>9766300</wp:posOffset>
              </wp:positionV>
              <wp:extent cx="5969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96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04.3pt;margin-top:769pt;height:8.65pt;width:4.7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17cEH9cAAAANAQAA&#10;DwAAAAAAAAABACAAAAA4AAAAZHJzL2Rvd25yZXYueG1sUEsBAhQAFAAAAAgAh07iQKIgwyOSAQAA&#10;IwMAAA4AAAAAAAAAAQAgAAAAP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6444615</wp:posOffset>
              </wp:positionH>
              <wp:positionV relativeFrom="page">
                <wp:posOffset>9874250</wp:posOffset>
              </wp:positionV>
              <wp:extent cx="64135" cy="1143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13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507.45pt;margin-top:777.5pt;height:9pt;width:5.0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BymUT41gAAAA8BAAAP&#10;AAAAAAAAAAEAIAAAADgAAABkcnMvZG93bnJldi54bWxQSwECFAAUAAAACACHTuJA304YrJIBAAAj&#10;AwAADgAAAAAAAAABACAAAAA7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1401445</wp:posOffset>
              </wp:positionH>
              <wp:positionV relativeFrom="page">
                <wp:posOffset>9775190</wp:posOffset>
              </wp:positionV>
              <wp:extent cx="64135" cy="1054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110.35pt;margin-top:769.7pt;height:8.3pt;width:5.0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NjTiwtgAAAAN&#10;AQAADwAAAAAAAAABACAAAAA4AAAAZHJzL2Rvd25yZXYueG1sUEsBAhQAFAAAAAgAh07iQLDWEOKU&#10;AQAAIwMAAA4AAAAAAAAAAQAgAAAAP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9808845</wp:posOffset>
              </wp:positionV>
              <wp:extent cx="100330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03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89.1pt;margin-top:772.35pt;height:8.65pt;width:7.9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FXv4BjYAAAADQEA&#10;AA8AAAAAAAAAAQAgAAAAOAAAAGRycy9kb3ducmV2LnhtbFBLAQIUABQAAAAIAIdO4kD8GdTFkgEA&#10;ACQDAAAOAAAAAAAAAAEAIAAAAD0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1315085</wp:posOffset>
              </wp:positionH>
              <wp:positionV relativeFrom="page">
                <wp:posOffset>9790430</wp:posOffset>
              </wp:positionV>
              <wp:extent cx="118745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874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103.55pt;margin-top:770.9pt;height:7.9pt;width:9.3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C763stcAAAAN&#10;AQAADwAAAAAAAAABACAAAAA4AAAAZHJzL2Rvd25yZXYueG1sUEsBAhQAFAAAAAgAh07iQGwT95OV&#10;AQAAJgMAAA4AAAAAAAAAAQAgAAAAP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evenAndOddHeaders w:val="tru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4085030"/>
    <w:rsid w:val="96F98F41"/>
    <w:rsid w:val="DB53B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240" w:after="18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2022-02-22T02:44:00Z</dcterms:created>
  <dc:creator>Administrator</dc:creator>
  <cp:lastModifiedBy>guest</cp:lastModifiedBy>
  <dcterms:modified xsi:type="dcterms:W3CDTF">2022-02-22T10:38:56Z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9E0B34211F4847DA97B3850D54376A0D</vt:lpwstr>
  </property>
</Properties>
</file>