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topLinePunct w:val="0"/>
        <w:bidi w:val="0"/>
        <w:spacing w:line="570" w:lineRule="exact"/>
        <w:jc w:val="center"/>
        <w:textAlignment w:val="auto"/>
        <w:rPr>
          <w:rFonts w:hint="eastAsia" w:ascii="方正小标宋简体" w:hAnsi="方正小标宋简体" w:eastAsia="方正小标宋简体" w:cs="方正小标宋简体"/>
          <w:b w:val="0"/>
          <w:bCs w:val="0"/>
          <w:kern w:val="0"/>
          <w:sz w:val="44"/>
          <w:szCs w:val="44"/>
          <w:highlight w:val="none"/>
        </w:rPr>
      </w:pPr>
      <w:r>
        <w:rPr>
          <w:rFonts w:hint="eastAsia" w:ascii="方正小标宋简体" w:hAnsi="方正小标宋简体" w:eastAsia="方正小标宋简体" w:cs="方正小标宋简体"/>
          <w:b w:val="0"/>
          <w:bCs w:val="0"/>
          <w:kern w:val="0"/>
          <w:sz w:val="44"/>
          <w:szCs w:val="44"/>
          <w:highlight w:val="none"/>
        </w:rPr>
        <w:t>2021年</w:t>
      </w:r>
      <w:r>
        <w:rPr>
          <w:rFonts w:hint="eastAsia" w:ascii="方正小标宋简体" w:hAnsi="方正小标宋简体" w:eastAsia="方正小标宋简体" w:cs="方正小标宋简体"/>
          <w:b w:val="0"/>
          <w:bCs w:val="0"/>
          <w:kern w:val="0"/>
          <w:sz w:val="44"/>
          <w:szCs w:val="44"/>
          <w:highlight w:val="none"/>
          <w:lang w:val="en-US" w:eastAsia="zh-CN"/>
        </w:rPr>
        <w:t>罗山县退役军人事务</w:t>
      </w:r>
      <w:r>
        <w:rPr>
          <w:rFonts w:hint="eastAsia" w:ascii="方正小标宋简体" w:hAnsi="方正小标宋简体" w:eastAsia="方正小标宋简体" w:cs="方正小标宋简体"/>
          <w:b w:val="0"/>
          <w:bCs w:val="0"/>
          <w:kern w:val="0"/>
          <w:sz w:val="44"/>
          <w:szCs w:val="44"/>
          <w:highlight w:val="none"/>
        </w:rPr>
        <w:t>局</w:t>
      </w:r>
    </w:p>
    <w:p>
      <w:pPr>
        <w:keepNext w:val="0"/>
        <w:keepLines w:val="0"/>
        <w:pageBreakBefore w:val="0"/>
        <w:wordWrap/>
        <w:topLinePunct w:val="0"/>
        <w:bidi w:val="0"/>
        <w:spacing w:line="570" w:lineRule="exact"/>
        <w:jc w:val="center"/>
        <w:textAlignment w:val="auto"/>
        <w:rPr>
          <w:rFonts w:hint="eastAsia" w:ascii="方正小标宋简体" w:hAnsi="方正小标宋简体" w:eastAsia="方正小标宋简体" w:cs="方正小标宋简体"/>
          <w:b w:val="0"/>
          <w:bCs w:val="0"/>
          <w:kern w:val="0"/>
          <w:sz w:val="44"/>
          <w:szCs w:val="44"/>
          <w:highlight w:val="none"/>
          <w:lang w:eastAsia="zh-CN"/>
        </w:rPr>
      </w:pPr>
    </w:p>
    <w:p>
      <w:pPr>
        <w:keepNext w:val="0"/>
        <w:keepLines w:val="0"/>
        <w:pageBreakBefore w:val="0"/>
        <w:wordWrap/>
        <w:topLinePunct w:val="0"/>
        <w:bidi w:val="0"/>
        <w:spacing w:line="570" w:lineRule="exact"/>
        <w:jc w:val="center"/>
        <w:textAlignment w:val="auto"/>
        <w:rPr>
          <w:rFonts w:hint="eastAsia" w:ascii="方正小标宋简体" w:hAnsi="方正小标宋简体" w:eastAsia="方正小标宋简体" w:cs="方正小标宋简体"/>
          <w:b w:val="0"/>
          <w:bCs w:val="0"/>
          <w:kern w:val="0"/>
          <w:sz w:val="44"/>
          <w:szCs w:val="44"/>
          <w:highlight w:val="none"/>
        </w:rPr>
      </w:pPr>
      <w:r>
        <w:rPr>
          <w:rFonts w:hint="eastAsia" w:ascii="方正小标宋简体" w:hAnsi="方正小标宋简体" w:eastAsia="方正小标宋简体" w:cs="方正小标宋简体"/>
          <w:b w:val="0"/>
          <w:bCs w:val="0"/>
          <w:kern w:val="0"/>
          <w:sz w:val="44"/>
          <w:szCs w:val="44"/>
          <w:highlight w:val="none"/>
        </w:rPr>
        <w:t>部门预算公开</w:t>
      </w:r>
    </w:p>
    <w:p>
      <w:pPr>
        <w:keepNext w:val="0"/>
        <w:keepLines w:val="0"/>
        <w:pageBreakBefore w:val="0"/>
        <w:widowControl/>
        <w:shd w:val="clear" w:color="auto" w:fill="FFFFFF"/>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lang w:eastAsia="zh-CN"/>
        </w:rPr>
      </w:pPr>
    </w:p>
    <w:p>
      <w:pPr>
        <w:keepNext w:val="0"/>
        <w:keepLines w:val="0"/>
        <w:pageBreakBefore w:val="0"/>
        <w:widowControl/>
        <w:shd w:val="clear" w:color="auto" w:fill="FFFFFF"/>
        <w:wordWrap/>
        <w:topLinePunct w:val="0"/>
        <w:bidi w:val="0"/>
        <w:spacing w:line="570" w:lineRule="exact"/>
        <w:jc w:val="center"/>
        <w:textAlignment w:val="auto"/>
        <w:rPr>
          <w:rFonts w:hint="eastAsia" w:ascii="黑体" w:hAnsi="黑体" w:eastAsia="黑体" w:cs="黑体"/>
          <w:b w:val="0"/>
          <w:bCs w:val="0"/>
          <w:color w:val="auto"/>
          <w:sz w:val="32"/>
          <w:szCs w:val="32"/>
          <w:highlight w:val="none"/>
        </w:rPr>
      </w:pPr>
      <w:r>
        <w:rPr>
          <w:rStyle w:val="7"/>
          <w:rFonts w:hint="eastAsia" w:ascii="黑体" w:hAnsi="黑体" w:eastAsia="黑体" w:cs="黑体"/>
          <w:b w:val="0"/>
          <w:bCs w:val="0"/>
          <w:color w:val="auto"/>
          <w:kern w:val="0"/>
          <w:sz w:val="32"/>
          <w:szCs w:val="32"/>
          <w:highlight w:val="none"/>
          <w:shd w:val="clear" w:color="auto" w:fill="FFFFFF"/>
        </w:rPr>
        <w:t>目</w:t>
      </w:r>
      <w:r>
        <w:rPr>
          <w:rStyle w:val="7"/>
          <w:rFonts w:hint="eastAsia" w:ascii="黑体" w:hAnsi="黑体" w:eastAsia="黑体" w:cs="黑体"/>
          <w:b w:val="0"/>
          <w:bCs w:val="0"/>
          <w:color w:val="auto"/>
          <w:kern w:val="0"/>
          <w:sz w:val="32"/>
          <w:szCs w:val="32"/>
          <w:highlight w:val="none"/>
          <w:shd w:val="clear" w:color="auto" w:fill="FFFFFF"/>
          <w:lang w:val="en-US" w:eastAsia="zh-CN"/>
        </w:rPr>
        <w:t xml:space="preserve"> </w:t>
      </w:r>
      <w:r>
        <w:rPr>
          <w:rStyle w:val="7"/>
          <w:rFonts w:hint="eastAsia" w:ascii="黑体" w:hAnsi="黑体" w:eastAsia="黑体" w:cs="黑体"/>
          <w:b w:val="0"/>
          <w:bCs w:val="0"/>
          <w:color w:val="auto"/>
          <w:kern w:val="0"/>
          <w:sz w:val="32"/>
          <w:szCs w:val="32"/>
          <w:highlight w:val="none"/>
          <w:shd w:val="clear" w:color="auto" w:fill="FFFFFF"/>
        </w:rPr>
        <w:t>录</w:t>
      </w:r>
    </w:p>
    <w:p>
      <w:pPr>
        <w:keepNext w:val="0"/>
        <w:keepLines w:val="0"/>
        <w:pageBreakBefore w:val="0"/>
        <w:widowControl/>
        <w:shd w:val="clear" w:color="auto" w:fill="FFFFFF"/>
        <w:wordWrap/>
        <w:topLinePunct w:val="0"/>
        <w:bidi w:val="0"/>
        <w:spacing w:line="570" w:lineRule="exact"/>
        <w:ind w:firstLine="640" w:firstLineChars="200"/>
        <w:jc w:val="left"/>
        <w:textAlignment w:val="auto"/>
        <w:rPr>
          <w:rFonts w:hint="eastAsia" w:ascii="黑体" w:hAnsi="黑体" w:eastAsia="黑体" w:cs="黑体"/>
          <w:b w:val="0"/>
          <w:bCs w:val="0"/>
          <w:color w:val="auto"/>
          <w:sz w:val="32"/>
          <w:szCs w:val="32"/>
          <w:highlight w:val="none"/>
          <w:lang w:eastAsia="zh-CN"/>
        </w:rPr>
      </w:pPr>
      <w:r>
        <w:rPr>
          <w:rStyle w:val="7"/>
          <w:rFonts w:hint="eastAsia" w:ascii="黑体" w:hAnsi="黑体" w:eastAsia="黑体" w:cs="黑体"/>
          <w:b w:val="0"/>
          <w:bCs w:val="0"/>
          <w:color w:val="auto"/>
          <w:kern w:val="0"/>
          <w:sz w:val="32"/>
          <w:szCs w:val="32"/>
          <w:highlight w:val="none"/>
          <w:shd w:val="clear" w:color="auto" w:fill="FFFFFF"/>
        </w:rPr>
        <w:t>第一部分</w:t>
      </w:r>
      <w:r>
        <w:rPr>
          <w:rStyle w:val="7"/>
          <w:rFonts w:hint="eastAsia" w:ascii="黑体" w:hAnsi="黑体" w:eastAsia="黑体" w:cs="黑体"/>
          <w:b w:val="0"/>
          <w:bCs w:val="0"/>
          <w:color w:val="auto"/>
          <w:kern w:val="0"/>
          <w:sz w:val="32"/>
          <w:szCs w:val="32"/>
          <w:highlight w:val="none"/>
          <w:shd w:val="clear" w:color="auto" w:fill="FFFFFF"/>
          <w:lang w:val="en-US" w:eastAsia="zh-CN"/>
        </w:rPr>
        <w:t>罗山县退役军人事务局</w:t>
      </w:r>
      <w:r>
        <w:rPr>
          <w:rStyle w:val="7"/>
          <w:rFonts w:hint="eastAsia" w:ascii="黑体" w:hAnsi="黑体" w:eastAsia="黑体" w:cs="黑体"/>
          <w:b w:val="0"/>
          <w:bCs w:val="0"/>
          <w:color w:val="auto"/>
          <w:kern w:val="0"/>
          <w:sz w:val="32"/>
          <w:szCs w:val="32"/>
          <w:highlight w:val="none"/>
          <w:shd w:val="clear" w:color="auto" w:fill="FFFFFF"/>
        </w:rPr>
        <w:t>概况</w:t>
      </w:r>
    </w:p>
    <w:p>
      <w:pPr>
        <w:keepNext w:val="0"/>
        <w:keepLines w:val="0"/>
        <w:pageBreakBefore w:val="0"/>
        <w:widowControl/>
        <w:shd w:val="clear" w:color="auto" w:fill="FFFFFF"/>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eastAsia="zh-CN"/>
        </w:rPr>
      </w:pPr>
      <w:r>
        <w:rPr>
          <w:rFonts w:hint="eastAsia" w:ascii="仿宋_GB2312" w:hAnsi="仿宋_GB2312" w:eastAsia="仿宋_GB2312" w:cs="仿宋_GB2312"/>
          <w:b w:val="0"/>
          <w:bCs w:val="0"/>
          <w:color w:val="auto"/>
          <w:kern w:val="0"/>
          <w:sz w:val="32"/>
          <w:szCs w:val="32"/>
          <w:highlight w:val="none"/>
          <w:shd w:val="clear" w:color="auto" w:fill="FFFFFF"/>
        </w:rPr>
        <w:t>一、主要职能</w:t>
      </w:r>
    </w:p>
    <w:p>
      <w:pPr>
        <w:keepNext w:val="0"/>
        <w:keepLines w:val="0"/>
        <w:pageBreakBefore w:val="0"/>
        <w:widowControl/>
        <w:shd w:val="clear" w:color="auto" w:fill="FFFFFF"/>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eastAsia="zh-CN"/>
        </w:rPr>
      </w:pPr>
      <w:r>
        <w:rPr>
          <w:rFonts w:hint="eastAsia" w:ascii="仿宋_GB2312" w:hAnsi="仿宋_GB2312" w:eastAsia="仿宋_GB2312" w:cs="仿宋_GB2312"/>
          <w:b w:val="0"/>
          <w:bCs w:val="0"/>
          <w:color w:val="auto"/>
          <w:kern w:val="0"/>
          <w:sz w:val="32"/>
          <w:szCs w:val="32"/>
          <w:highlight w:val="none"/>
          <w:shd w:val="clear" w:color="auto" w:fill="FFFFFF"/>
        </w:rPr>
        <w:t>二、机构设置</w:t>
      </w:r>
    </w:p>
    <w:p>
      <w:pPr>
        <w:keepNext w:val="0"/>
        <w:keepLines w:val="0"/>
        <w:pageBreakBefore w:val="0"/>
        <w:widowControl/>
        <w:shd w:val="clear" w:color="auto" w:fill="FFFFFF"/>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eastAsia="zh-CN"/>
        </w:rPr>
      </w:pPr>
      <w:r>
        <w:rPr>
          <w:rFonts w:hint="eastAsia" w:ascii="仿宋_GB2312" w:hAnsi="仿宋_GB2312" w:eastAsia="仿宋_GB2312" w:cs="仿宋_GB2312"/>
          <w:b w:val="0"/>
          <w:bCs w:val="0"/>
          <w:color w:val="auto"/>
          <w:kern w:val="0"/>
          <w:sz w:val="32"/>
          <w:szCs w:val="32"/>
          <w:highlight w:val="none"/>
          <w:shd w:val="clear" w:color="auto" w:fill="FFFFFF"/>
        </w:rPr>
        <w:t>三、部门预算单位构成</w:t>
      </w:r>
    </w:p>
    <w:p>
      <w:pPr>
        <w:keepNext w:val="0"/>
        <w:keepLines w:val="0"/>
        <w:pageBreakBefore w:val="0"/>
        <w:widowControl/>
        <w:shd w:val="clear" w:color="auto" w:fill="FFFFFF"/>
        <w:wordWrap/>
        <w:topLinePunct w:val="0"/>
        <w:bidi w:val="0"/>
        <w:spacing w:line="570" w:lineRule="exact"/>
        <w:ind w:firstLine="640" w:firstLineChars="200"/>
        <w:jc w:val="left"/>
        <w:textAlignment w:val="auto"/>
        <w:rPr>
          <w:rStyle w:val="7"/>
          <w:rFonts w:hint="eastAsia" w:ascii="黑体" w:hAnsi="黑体" w:eastAsia="黑体" w:cs="黑体"/>
          <w:b w:val="0"/>
          <w:bCs w:val="0"/>
          <w:color w:val="auto"/>
          <w:kern w:val="0"/>
          <w:sz w:val="32"/>
          <w:szCs w:val="32"/>
          <w:highlight w:val="none"/>
          <w:shd w:val="clear" w:color="auto" w:fill="FFFFFF"/>
          <w:lang w:eastAsia="zh-CN"/>
        </w:rPr>
      </w:pPr>
      <w:r>
        <w:rPr>
          <w:rStyle w:val="7"/>
          <w:rFonts w:hint="eastAsia" w:ascii="黑体" w:hAnsi="黑体" w:eastAsia="黑体" w:cs="黑体"/>
          <w:b w:val="0"/>
          <w:bCs w:val="0"/>
          <w:color w:val="auto"/>
          <w:kern w:val="0"/>
          <w:sz w:val="32"/>
          <w:szCs w:val="32"/>
          <w:highlight w:val="none"/>
          <w:shd w:val="clear" w:color="auto" w:fill="FFFFFF"/>
        </w:rPr>
        <w:t>第二部分</w:t>
      </w:r>
      <w:r>
        <w:rPr>
          <w:rStyle w:val="7"/>
          <w:rFonts w:hint="eastAsia" w:ascii="黑体" w:hAnsi="黑体" w:eastAsia="黑体" w:cs="黑体"/>
          <w:b w:val="0"/>
          <w:bCs w:val="0"/>
          <w:color w:val="auto"/>
          <w:kern w:val="0"/>
          <w:sz w:val="32"/>
          <w:szCs w:val="32"/>
          <w:highlight w:val="none"/>
          <w:shd w:val="clear" w:color="auto" w:fill="FFFFFF"/>
          <w:lang w:val="en-US" w:eastAsia="zh-CN"/>
        </w:rPr>
        <w:t>罗山县退役军人事务局</w:t>
      </w:r>
      <w:r>
        <w:rPr>
          <w:rStyle w:val="7"/>
          <w:rFonts w:hint="eastAsia" w:ascii="黑体" w:hAnsi="黑体" w:eastAsia="黑体" w:cs="黑体"/>
          <w:b w:val="0"/>
          <w:bCs w:val="0"/>
          <w:color w:val="auto"/>
          <w:kern w:val="0"/>
          <w:sz w:val="32"/>
          <w:szCs w:val="32"/>
          <w:highlight w:val="none"/>
          <w:shd w:val="clear" w:color="auto" w:fill="FFFFFF"/>
        </w:rPr>
        <w:t>2021年度部门预算情况说明</w:t>
      </w:r>
    </w:p>
    <w:p>
      <w:pPr>
        <w:keepNext w:val="0"/>
        <w:keepLines w:val="0"/>
        <w:pageBreakBefore w:val="0"/>
        <w:widowControl/>
        <w:shd w:val="clear" w:color="auto" w:fill="FFFFFF"/>
        <w:wordWrap/>
        <w:topLinePunct w:val="0"/>
        <w:bidi w:val="0"/>
        <w:spacing w:line="570" w:lineRule="exact"/>
        <w:ind w:firstLine="640" w:firstLineChars="200"/>
        <w:jc w:val="left"/>
        <w:textAlignment w:val="auto"/>
        <w:rPr>
          <w:rStyle w:val="7"/>
          <w:rFonts w:hint="eastAsia" w:ascii="黑体" w:hAnsi="黑体" w:eastAsia="黑体" w:cs="黑体"/>
          <w:b w:val="0"/>
          <w:bCs w:val="0"/>
          <w:color w:val="auto"/>
          <w:kern w:val="0"/>
          <w:sz w:val="32"/>
          <w:szCs w:val="32"/>
          <w:highlight w:val="none"/>
          <w:shd w:val="clear" w:color="auto" w:fill="FFFFFF"/>
          <w:lang w:eastAsia="zh-CN"/>
        </w:rPr>
      </w:pPr>
      <w:r>
        <w:rPr>
          <w:rStyle w:val="7"/>
          <w:rFonts w:hint="eastAsia" w:ascii="黑体" w:hAnsi="黑体" w:eastAsia="黑体" w:cs="黑体"/>
          <w:b w:val="0"/>
          <w:bCs w:val="0"/>
          <w:color w:val="auto"/>
          <w:kern w:val="0"/>
          <w:sz w:val="32"/>
          <w:szCs w:val="32"/>
          <w:highlight w:val="none"/>
          <w:shd w:val="clear" w:color="auto" w:fill="FFFFFF"/>
        </w:rPr>
        <w:t>第三部分名词解释</w:t>
      </w:r>
    </w:p>
    <w:p>
      <w:pPr>
        <w:keepNext w:val="0"/>
        <w:keepLines w:val="0"/>
        <w:pageBreakBefore w:val="0"/>
        <w:widowControl/>
        <w:shd w:val="clear" w:color="auto" w:fill="FFFFFF"/>
        <w:wordWrap/>
        <w:topLinePunct w:val="0"/>
        <w:bidi w:val="0"/>
        <w:spacing w:line="570" w:lineRule="exact"/>
        <w:ind w:firstLine="640" w:firstLineChars="200"/>
        <w:jc w:val="left"/>
        <w:textAlignment w:val="auto"/>
        <w:rPr>
          <w:rStyle w:val="7"/>
          <w:rFonts w:hint="eastAsia" w:ascii="黑体" w:hAnsi="黑体" w:eastAsia="黑体" w:cs="黑体"/>
          <w:b w:val="0"/>
          <w:bCs w:val="0"/>
          <w:color w:val="auto"/>
          <w:kern w:val="0"/>
          <w:sz w:val="32"/>
          <w:szCs w:val="32"/>
          <w:highlight w:val="none"/>
          <w:shd w:val="clear" w:color="auto" w:fill="FFFFFF"/>
          <w:lang w:eastAsia="zh-CN"/>
        </w:rPr>
      </w:pPr>
      <w:r>
        <w:rPr>
          <w:rStyle w:val="7"/>
          <w:rFonts w:hint="eastAsia" w:ascii="黑体" w:hAnsi="黑体" w:eastAsia="黑体" w:cs="黑体"/>
          <w:b w:val="0"/>
          <w:bCs w:val="0"/>
          <w:color w:val="auto"/>
          <w:kern w:val="0"/>
          <w:sz w:val="32"/>
          <w:szCs w:val="32"/>
          <w:highlight w:val="none"/>
          <w:shd w:val="clear" w:color="auto" w:fill="FFFFFF"/>
        </w:rPr>
        <w:t>附件：</w:t>
      </w:r>
      <w:r>
        <w:rPr>
          <w:rStyle w:val="7"/>
          <w:rFonts w:hint="eastAsia" w:ascii="黑体" w:hAnsi="黑体" w:eastAsia="黑体" w:cs="黑体"/>
          <w:b w:val="0"/>
          <w:bCs w:val="0"/>
          <w:color w:val="auto"/>
          <w:kern w:val="0"/>
          <w:sz w:val="32"/>
          <w:szCs w:val="32"/>
          <w:highlight w:val="none"/>
          <w:shd w:val="clear" w:color="auto" w:fill="FFFFFF"/>
          <w:lang w:val="en-US" w:eastAsia="zh-CN"/>
        </w:rPr>
        <w:t>罗山县退役军人事务局</w:t>
      </w:r>
      <w:r>
        <w:rPr>
          <w:rStyle w:val="7"/>
          <w:rFonts w:hint="eastAsia" w:ascii="黑体" w:hAnsi="黑体" w:eastAsia="黑体" w:cs="黑体"/>
          <w:b w:val="0"/>
          <w:bCs w:val="0"/>
          <w:color w:val="auto"/>
          <w:kern w:val="0"/>
          <w:sz w:val="32"/>
          <w:szCs w:val="32"/>
          <w:highlight w:val="none"/>
          <w:shd w:val="clear" w:color="auto" w:fill="FFFFFF"/>
        </w:rPr>
        <w:t>2021年度部门预算表</w:t>
      </w:r>
    </w:p>
    <w:p>
      <w:pPr>
        <w:keepNext w:val="0"/>
        <w:keepLines w:val="0"/>
        <w:pageBreakBefore w:val="0"/>
        <w:widowControl/>
        <w:shd w:val="clear" w:color="auto" w:fill="FFFFFF"/>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eastAsia="zh-CN"/>
        </w:rPr>
      </w:pPr>
      <w:r>
        <w:rPr>
          <w:rFonts w:hint="eastAsia" w:ascii="仿宋_GB2312" w:hAnsi="仿宋_GB2312" w:eastAsia="仿宋_GB2312" w:cs="仿宋_GB2312"/>
          <w:b w:val="0"/>
          <w:bCs w:val="0"/>
          <w:color w:val="auto"/>
          <w:kern w:val="0"/>
          <w:sz w:val="32"/>
          <w:szCs w:val="32"/>
          <w:highlight w:val="none"/>
          <w:shd w:val="clear" w:color="auto" w:fill="FFFFFF"/>
        </w:rPr>
        <w:t>一、部门收支总体情况表</w:t>
      </w:r>
    </w:p>
    <w:p>
      <w:pPr>
        <w:keepNext w:val="0"/>
        <w:keepLines w:val="0"/>
        <w:pageBreakBefore w:val="0"/>
        <w:widowControl/>
        <w:shd w:val="clear" w:color="auto" w:fill="FFFFFF"/>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eastAsia="zh-CN"/>
        </w:rPr>
      </w:pPr>
      <w:r>
        <w:rPr>
          <w:rFonts w:hint="eastAsia" w:ascii="仿宋_GB2312" w:hAnsi="仿宋_GB2312" w:eastAsia="仿宋_GB2312" w:cs="仿宋_GB2312"/>
          <w:b w:val="0"/>
          <w:bCs w:val="0"/>
          <w:color w:val="auto"/>
          <w:kern w:val="0"/>
          <w:sz w:val="32"/>
          <w:szCs w:val="32"/>
          <w:highlight w:val="none"/>
          <w:shd w:val="clear" w:color="auto" w:fill="FFFFFF"/>
        </w:rPr>
        <w:t>二、部门收入总体情况表</w:t>
      </w:r>
    </w:p>
    <w:p>
      <w:pPr>
        <w:keepNext w:val="0"/>
        <w:keepLines w:val="0"/>
        <w:pageBreakBefore w:val="0"/>
        <w:widowControl/>
        <w:shd w:val="clear" w:color="auto" w:fill="FFFFFF"/>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eastAsia="zh-CN"/>
        </w:rPr>
      </w:pPr>
      <w:r>
        <w:rPr>
          <w:rFonts w:hint="eastAsia" w:ascii="仿宋_GB2312" w:hAnsi="仿宋_GB2312" w:eastAsia="仿宋_GB2312" w:cs="仿宋_GB2312"/>
          <w:b w:val="0"/>
          <w:bCs w:val="0"/>
          <w:color w:val="auto"/>
          <w:kern w:val="0"/>
          <w:sz w:val="32"/>
          <w:szCs w:val="32"/>
          <w:highlight w:val="none"/>
          <w:shd w:val="clear" w:color="auto" w:fill="FFFFFF"/>
        </w:rPr>
        <w:t>三、部门支出总体情况表</w:t>
      </w:r>
    </w:p>
    <w:p>
      <w:pPr>
        <w:keepNext w:val="0"/>
        <w:keepLines w:val="0"/>
        <w:pageBreakBefore w:val="0"/>
        <w:widowControl/>
        <w:shd w:val="clear" w:color="auto" w:fill="FFFFFF"/>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eastAsia="zh-CN"/>
        </w:rPr>
      </w:pPr>
      <w:r>
        <w:rPr>
          <w:rFonts w:hint="eastAsia" w:ascii="仿宋_GB2312" w:hAnsi="仿宋_GB2312" w:eastAsia="仿宋_GB2312" w:cs="仿宋_GB2312"/>
          <w:b w:val="0"/>
          <w:bCs w:val="0"/>
          <w:color w:val="auto"/>
          <w:kern w:val="0"/>
          <w:sz w:val="32"/>
          <w:szCs w:val="32"/>
          <w:highlight w:val="none"/>
          <w:shd w:val="clear" w:color="auto" w:fill="FFFFFF"/>
        </w:rPr>
        <w:t>四、财政拨款收支总体情况表</w:t>
      </w:r>
    </w:p>
    <w:p>
      <w:pPr>
        <w:keepNext w:val="0"/>
        <w:keepLines w:val="0"/>
        <w:pageBreakBefore w:val="0"/>
        <w:widowControl/>
        <w:shd w:val="clear" w:color="auto" w:fill="FFFFFF"/>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eastAsia="zh-CN"/>
        </w:rPr>
      </w:pPr>
      <w:r>
        <w:rPr>
          <w:rFonts w:hint="eastAsia" w:ascii="仿宋_GB2312" w:hAnsi="仿宋_GB2312" w:eastAsia="仿宋_GB2312" w:cs="仿宋_GB2312"/>
          <w:b w:val="0"/>
          <w:bCs w:val="0"/>
          <w:color w:val="auto"/>
          <w:kern w:val="0"/>
          <w:sz w:val="32"/>
          <w:szCs w:val="32"/>
          <w:highlight w:val="none"/>
          <w:shd w:val="clear" w:color="auto" w:fill="FFFFFF"/>
        </w:rPr>
        <w:t>五、一般公共预算支出情况表</w:t>
      </w:r>
    </w:p>
    <w:p>
      <w:pPr>
        <w:keepNext w:val="0"/>
        <w:keepLines w:val="0"/>
        <w:pageBreakBefore w:val="0"/>
        <w:widowControl/>
        <w:shd w:val="clear" w:color="auto" w:fill="FFFFFF"/>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eastAsia="zh-CN"/>
        </w:rPr>
      </w:pPr>
      <w:r>
        <w:rPr>
          <w:rFonts w:hint="eastAsia" w:ascii="仿宋_GB2312" w:hAnsi="仿宋_GB2312" w:eastAsia="仿宋_GB2312" w:cs="仿宋_GB2312"/>
          <w:b w:val="0"/>
          <w:bCs w:val="0"/>
          <w:color w:val="auto"/>
          <w:kern w:val="0"/>
          <w:sz w:val="32"/>
          <w:szCs w:val="32"/>
          <w:highlight w:val="none"/>
          <w:shd w:val="clear" w:color="auto" w:fill="FFFFFF"/>
        </w:rPr>
        <w:t>六、一般公共预算基本支出情况表</w:t>
      </w:r>
    </w:p>
    <w:p>
      <w:pPr>
        <w:keepNext w:val="0"/>
        <w:keepLines w:val="0"/>
        <w:pageBreakBefore w:val="0"/>
        <w:widowControl/>
        <w:shd w:val="clear" w:color="auto" w:fill="FFFFFF"/>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eastAsia="zh-CN"/>
        </w:rPr>
      </w:pPr>
      <w:r>
        <w:rPr>
          <w:rFonts w:hint="eastAsia" w:ascii="仿宋_GB2312" w:hAnsi="仿宋_GB2312" w:eastAsia="仿宋_GB2312" w:cs="仿宋_GB2312"/>
          <w:b w:val="0"/>
          <w:bCs w:val="0"/>
          <w:color w:val="auto"/>
          <w:kern w:val="0"/>
          <w:sz w:val="32"/>
          <w:szCs w:val="32"/>
          <w:highlight w:val="none"/>
          <w:shd w:val="clear" w:color="auto" w:fill="FFFFFF"/>
        </w:rPr>
        <w:t>七、一般公共预算“三公”经费支出情况表</w:t>
      </w:r>
    </w:p>
    <w:p>
      <w:pPr>
        <w:keepNext w:val="0"/>
        <w:keepLines w:val="0"/>
        <w:pageBreakBefore w:val="0"/>
        <w:widowControl/>
        <w:shd w:val="clear" w:color="auto" w:fill="FFFFFF"/>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eastAsia="zh-CN"/>
        </w:rPr>
      </w:pPr>
      <w:r>
        <w:rPr>
          <w:rFonts w:hint="eastAsia" w:ascii="仿宋_GB2312" w:hAnsi="仿宋_GB2312" w:eastAsia="仿宋_GB2312" w:cs="仿宋_GB2312"/>
          <w:b w:val="0"/>
          <w:bCs w:val="0"/>
          <w:color w:val="auto"/>
          <w:kern w:val="0"/>
          <w:sz w:val="32"/>
          <w:szCs w:val="32"/>
          <w:highlight w:val="none"/>
          <w:shd w:val="clear" w:color="auto" w:fill="FFFFFF"/>
        </w:rPr>
        <w:t>八、政府性基金预算支出情况表</w:t>
      </w:r>
    </w:p>
    <w:p>
      <w:pPr>
        <w:keepNext w:val="0"/>
        <w:keepLines w:val="0"/>
        <w:pageBreakBefore w:val="0"/>
        <w:widowControl/>
        <w:shd w:val="clear" w:color="auto" w:fill="FFFFFF"/>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rPr>
        <w:t>九、</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国有资产占用情况说明</w:t>
      </w:r>
    </w:p>
    <w:p>
      <w:pPr>
        <w:keepNext w:val="0"/>
        <w:keepLines w:val="0"/>
        <w:pageBreakBefore w:val="0"/>
        <w:widowControl/>
        <w:shd w:val="clear" w:color="auto" w:fill="FFFFFF"/>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rPr>
        <w:t>十、</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其他重要事项的情况说明</w:t>
      </w:r>
    </w:p>
    <w:p>
      <w:pPr>
        <w:keepNext w:val="0"/>
        <w:keepLines w:val="0"/>
        <w:pageBreakBefore w:val="0"/>
        <w:widowControl/>
        <w:shd w:val="clear" w:color="auto" w:fill="FFFFFF"/>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p>
    <w:p>
      <w:pPr>
        <w:keepNext w:val="0"/>
        <w:keepLines w:val="0"/>
        <w:pageBreakBefore w:val="0"/>
        <w:widowControl/>
        <w:shd w:val="clear" w:color="auto" w:fill="FFFFFF"/>
        <w:wordWrap/>
        <w:topLinePunct w:val="0"/>
        <w:bidi w:val="0"/>
        <w:spacing w:line="570" w:lineRule="exact"/>
        <w:jc w:val="center"/>
        <w:textAlignment w:val="auto"/>
        <w:rPr>
          <w:rStyle w:val="7"/>
          <w:rFonts w:hint="eastAsia" w:ascii="黑体" w:hAnsi="黑体" w:eastAsia="黑体" w:cs="黑体"/>
          <w:b w:val="0"/>
          <w:bCs w:val="0"/>
          <w:color w:val="auto"/>
          <w:kern w:val="0"/>
          <w:sz w:val="32"/>
          <w:szCs w:val="32"/>
          <w:highlight w:val="none"/>
          <w:shd w:val="clear" w:color="auto" w:fill="FFFFFF"/>
          <w:lang w:eastAsia="zh-CN"/>
        </w:rPr>
      </w:pPr>
      <w:r>
        <w:rPr>
          <w:rStyle w:val="7"/>
          <w:rFonts w:hint="eastAsia" w:ascii="黑体" w:hAnsi="黑体" w:eastAsia="黑体" w:cs="黑体"/>
          <w:b w:val="0"/>
          <w:bCs w:val="0"/>
          <w:color w:val="auto"/>
          <w:kern w:val="0"/>
          <w:sz w:val="32"/>
          <w:szCs w:val="32"/>
          <w:highlight w:val="none"/>
          <w:shd w:val="clear" w:color="auto" w:fill="FFFFFF"/>
        </w:rPr>
        <w:t>第一部分</w:t>
      </w:r>
    </w:p>
    <w:p>
      <w:pPr>
        <w:keepNext w:val="0"/>
        <w:keepLines w:val="0"/>
        <w:pageBreakBefore w:val="0"/>
        <w:widowControl/>
        <w:shd w:val="clear" w:color="auto" w:fill="FFFFFF"/>
        <w:wordWrap/>
        <w:topLinePunct w:val="0"/>
        <w:bidi w:val="0"/>
        <w:spacing w:line="570" w:lineRule="exact"/>
        <w:jc w:val="center"/>
        <w:textAlignment w:val="auto"/>
        <w:rPr>
          <w:rFonts w:hint="eastAsia" w:ascii="黑体" w:hAnsi="黑体" w:eastAsia="黑体" w:cs="黑体"/>
          <w:b w:val="0"/>
          <w:bCs w:val="0"/>
          <w:color w:val="auto"/>
          <w:sz w:val="32"/>
          <w:szCs w:val="32"/>
          <w:highlight w:val="none"/>
        </w:rPr>
      </w:pPr>
      <w:r>
        <w:rPr>
          <w:rStyle w:val="7"/>
          <w:rFonts w:hint="eastAsia" w:ascii="黑体" w:hAnsi="黑体" w:eastAsia="黑体" w:cs="黑体"/>
          <w:b w:val="0"/>
          <w:bCs w:val="0"/>
          <w:color w:val="auto"/>
          <w:kern w:val="0"/>
          <w:sz w:val="32"/>
          <w:szCs w:val="32"/>
          <w:highlight w:val="none"/>
          <w:shd w:val="clear" w:color="auto" w:fill="FFFFFF"/>
          <w:lang w:val="en-US" w:eastAsia="zh-CN"/>
        </w:rPr>
        <w:t>罗山县退役军人事务局</w:t>
      </w:r>
      <w:r>
        <w:rPr>
          <w:rStyle w:val="7"/>
          <w:rFonts w:hint="eastAsia" w:ascii="黑体" w:hAnsi="黑体" w:eastAsia="黑体" w:cs="黑体"/>
          <w:b w:val="0"/>
          <w:bCs w:val="0"/>
          <w:color w:val="auto"/>
          <w:kern w:val="0"/>
          <w:sz w:val="32"/>
          <w:szCs w:val="32"/>
          <w:highlight w:val="none"/>
          <w:shd w:val="clear" w:color="auto" w:fill="FFFFFF"/>
        </w:rPr>
        <w:t>概况</w:t>
      </w:r>
    </w:p>
    <w:p>
      <w:pPr>
        <w:keepNext w:val="0"/>
        <w:keepLines w:val="0"/>
        <w:pageBreakBefore w:val="0"/>
        <w:wordWrap/>
        <w:topLinePunct w:val="0"/>
        <w:bidi w:val="0"/>
        <w:spacing w:line="570" w:lineRule="exact"/>
        <w:ind w:firstLine="640" w:firstLineChars="200"/>
        <w:jc w:val="left"/>
        <w:textAlignment w:val="auto"/>
        <w:rPr>
          <w:rStyle w:val="7"/>
          <w:rFonts w:hint="eastAsia" w:ascii="仿宋_GB2312" w:hAnsi="仿宋_GB2312" w:eastAsia="仿宋_GB2312" w:cs="仿宋_GB2312"/>
          <w:b w:val="0"/>
          <w:bCs w:val="0"/>
          <w:color w:val="auto"/>
          <w:kern w:val="0"/>
          <w:sz w:val="32"/>
          <w:szCs w:val="32"/>
          <w:highlight w:val="none"/>
          <w:shd w:val="clear" w:color="auto" w:fill="FFFFFF"/>
          <w:lang w:eastAsia="zh-CN"/>
        </w:rPr>
      </w:pPr>
    </w:p>
    <w:p>
      <w:pPr>
        <w:keepNext w:val="0"/>
        <w:keepLines w:val="0"/>
        <w:pageBreakBefore w:val="0"/>
        <w:wordWrap/>
        <w:topLinePunct w:val="0"/>
        <w:bidi w:val="0"/>
        <w:spacing w:line="570" w:lineRule="exact"/>
        <w:ind w:firstLine="640" w:firstLineChars="200"/>
        <w:jc w:val="left"/>
        <w:textAlignment w:val="auto"/>
        <w:rPr>
          <w:rStyle w:val="7"/>
          <w:rFonts w:hint="eastAsia" w:ascii="黑体" w:hAnsi="黑体" w:eastAsia="黑体" w:cs="黑体"/>
          <w:b w:val="0"/>
          <w:bCs w:val="0"/>
          <w:color w:val="auto"/>
          <w:kern w:val="0"/>
          <w:sz w:val="32"/>
          <w:szCs w:val="32"/>
          <w:highlight w:val="none"/>
          <w:shd w:val="clear" w:color="auto" w:fill="FFFFFF"/>
          <w:lang w:val="en-US" w:eastAsia="zh-CN"/>
        </w:rPr>
      </w:pPr>
      <w:r>
        <w:rPr>
          <w:rStyle w:val="7"/>
          <w:rFonts w:hint="eastAsia" w:ascii="黑体" w:hAnsi="黑体" w:eastAsia="黑体" w:cs="黑体"/>
          <w:b w:val="0"/>
          <w:bCs w:val="0"/>
          <w:color w:val="auto"/>
          <w:kern w:val="0"/>
          <w:sz w:val="32"/>
          <w:szCs w:val="32"/>
          <w:highlight w:val="none"/>
          <w:shd w:val="clear" w:color="auto" w:fill="FFFFFF"/>
        </w:rPr>
        <w:t>一、主要职</w:t>
      </w:r>
      <w:r>
        <w:rPr>
          <w:rStyle w:val="7"/>
          <w:rFonts w:hint="eastAsia" w:ascii="黑体" w:hAnsi="黑体" w:eastAsia="黑体" w:cs="黑体"/>
          <w:b w:val="0"/>
          <w:bCs w:val="0"/>
          <w:color w:val="auto"/>
          <w:kern w:val="0"/>
          <w:sz w:val="32"/>
          <w:szCs w:val="32"/>
          <w:highlight w:val="none"/>
          <w:shd w:val="clear" w:color="auto" w:fill="FFFFFF"/>
          <w:lang w:val="en-US" w:eastAsia="zh-CN"/>
        </w:rPr>
        <w:t>能</w:t>
      </w:r>
    </w:p>
    <w:p>
      <w:pPr>
        <w:keepNext w:val="0"/>
        <w:keepLines w:val="0"/>
        <w:pageBreakBefore w:val="0"/>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1、贯彻党和国家退役军人思想政治</w:t>
      </w:r>
      <w:bookmarkStart w:id="0" w:name="_GoBack"/>
      <w:bookmarkEnd w:id="0"/>
      <w:r>
        <w:rPr>
          <w:rFonts w:hint="eastAsia" w:ascii="仿宋_GB2312" w:hAnsi="仿宋_GB2312" w:eastAsia="仿宋_GB2312" w:cs="仿宋_GB2312"/>
          <w:b w:val="0"/>
          <w:bCs w:val="0"/>
          <w:color w:val="auto"/>
          <w:sz w:val="32"/>
          <w:szCs w:val="32"/>
          <w:highlight w:val="none"/>
        </w:rPr>
        <w:t>、管理保障和安置优抚等工作政策法规并组织实施，褒扬彰显退役军人为党、国家和人民牺牲奉献的精神风范和价值导向。</w:t>
      </w:r>
    </w:p>
    <w:p>
      <w:pPr>
        <w:keepNext w:val="0"/>
        <w:keepLines w:val="0"/>
        <w:pageBreakBefore w:val="0"/>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2、承担有关地方性法规和规章草案起草工作，指导全县退役军人事务工作的改革与发展，拟订全县退役军人事务发展规划并组织实施。承担机关及局属单位的干部人事、机构编制、劳动工资和教育培训等工作。</w:t>
      </w:r>
    </w:p>
    <w:p>
      <w:pPr>
        <w:keepNext w:val="0"/>
        <w:keepLines w:val="0"/>
        <w:pageBreakBefore w:val="0"/>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3、负责全县军队转业干部、复员干部、离退休干部、退役士兵和无军籍退休退职职工的移交安置工作，做好自主择业、自主就业退役军人服务管理工作。</w:t>
      </w:r>
    </w:p>
    <w:p>
      <w:pPr>
        <w:keepNext w:val="0"/>
        <w:keepLines w:val="0"/>
        <w:pageBreakBefore w:val="0"/>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4、组织指导全县退役军人教育培训工作，协调扶持退役军人和随军随调家属就业创业。</w:t>
      </w:r>
    </w:p>
    <w:p>
      <w:pPr>
        <w:keepNext w:val="0"/>
        <w:keepLines w:val="0"/>
        <w:pageBreakBefore w:val="0"/>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5、贯彻落实党和国家关于退役军人特殊保障政策，会同有关部门拟订相关政策并组织实施，建立健全多方联动协调机制。</w:t>
      </w:r>
    </w:p>
    <w:p>
      <w:pPr>
        <w:keepNext w:val="0"/>
        <w:keepLines w:val="0"/>
        <w:pageBreakBefore w:val="0"/>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6、组织协调落实移交我县的离退休军人、符合条件的其他退役军人和无军籍退休退职职工的住房保障工作，以及退役军人医疗保障、社会保险等待遇保障工作；落实军队离退休干部（遗属）、无军籍退休退职职工相关待遇。</w:t>
      </w:r>
    </w:p>
    <w:p>
      <w:pPr>
        <w:keepNext w:val="0"/>
        <w:keepLines w:val="0"/>
        <w:pageBreakBefore w:val="0"/>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7、组织指导全县伤病残退役军人服务管理和抚恤工作，贯彻落实全县退役军人医疗、疗养、养老等机构的有关政策规定并组织实施；承担全县不适宜继续服役的伤病残军人相关工作；组织指导军供服务保障工作。</w:t>
      </w:r>
    </w:p>
    <w:p>
      <w:pPr>
        <w:keepNext w:val="0"/>
        <w:keepLines w:val="0"/>
        <w:pageBreakBefore w:val="0"/>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8、组织指导开展全县拥军优属拥政爱民工作。负责现役军人、退役军人、军队文职人员和军属优待、抚恤等工作；贯彻落实国民党抗战老兵等有关人员优待政策并组织实施。</w:t>
      </w:r>
    </w:p>
    <w:p>
      <w:pPr>
        <w:keepNext w:val="0"/>
        <w:keepLines w:val="0"/>
        <w:pageBreakBefore w:val="0"/>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9、负责全县烈士及退役军人荣誉奖励、军人公墓管理维护、纪念活动等工作，依法承担英雄烈士保护相关工作，指导全县优抚医院、光荣院、烈士纪念设施等机构的服务管理工作，总结表彰和宣扬全县退役军人、退役军人工作单位和个人先进典型事迹。</w:t>
      </w:r>
    </w:p>
    <w:p>
      <w:pPr>
        <w:keepNext w:val="0"/>
        <w:keepLines w:val="0"/>
        <w:pageBreakBefore w:val="0"/>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10、负责全县退役军人法律法规宣传工作，指导并监督检查全县关于退役军人相关法律法规和政策措施的落实情况；组织开展全县退役军人权益维护和有关人员的帮扶援助工作。</w:t>
      </w:r>
    </w:p>
    <w:p>
      <w:pPr>
        <w:keepNext w:val="0"/>
        <w:keepLines w:val="0"/>
        <w:pageBreakBefore w:val="0"/>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11、推进退役军人服务保障体系建设，夯实退役军人服务管理保障工作基础，提升退役军人服务管理保障工作水平。</w:t>
      </w:r>
    </w:p>
    <w:p>
      <w:pPr>
        <w:keepNext w:val="0"/>
        <w:keepLines w:val="0"/>
        <w:pageBreakBefore w:val="0"/>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12、完成县委、县政府交办的其他任务。</w:t>
      </w:r>
    </w:p>
    <w:p>
      <w:pPr>
        <w:keepNext w:val="0"/>
        <w:keepLines w:val="0"/>
        <w:pageBreakBefore w:val="0"/>
        <w:wordWrap/>
        <w:topLinePunct w:val="0"/>
        <w:bidi w:val="0"/>
        <w:spacing w:line="570" w:lineRule="exact"/>
        <w:ind w:firstLine="640" w:firstLineChars="200"/>
        <w:jc w:val="left"/>
        <w:textAlignment w:val="auto"/>
        <w:rPr>
          <w:rStyle w:val="7"/>
          <w:rFonts w:hint="eastAsia" w:ascii="黑体" w:hAnsi="黑体" w:eastAsia="黑体" w:cs="黑体"/>
          <w:b w:val="0"/>
          <w:bCs w:val="0"/>
          <w:color w:val="auto"/>
          <w:kern w:val="0"/>
          <w:sz w:val="32"/>
          <w:szCs w:val="32"/>
          <w:highlight w:val="none"/>
          <w:shd w:val="clear" w:color="auto" w:fill="FFFFFF"/>
          <w:lang w:eastAsia="zh-CN"/>
        </w:rPr>
      </w:pPr>
      <w:r>
        <w:rPr>
          <w:rStyle w:val="7"/>
          <w:rFonts w:hint="eastAsia" w:ascii="黑体" w:hAnsi="黑体" w:eastAsia="黑体" w:cs="黑体"/>
          <w:b w:val="0"/>
          <w:bCs w:val="0"/>
          <w:color w:val="auto"/>
          <w:kern w:val="0"/>
          <w:sz w:val="32"/>
          <w:szCs w:val="32"/>
          <w:highlight w:val="none"/>
          <w:shd w:val="clear" w:color="auto" w:fill="FFFFFF"/>
        </w:rPr>
        <w:t>二、机构设置</w:t>
      </w:r>
    </w:p>
    <w:p>
      <w:pPr>
        <w:keepNext w:val="0"/>
        <w:keepLines w:val="0"/>
        <w:pageBreakBefore w:val="0"/>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罗山县退役军人事务局是县政府的主管退役军人事务工作的行政部门，内设5个职能股室，下属二级预算单位2个。主要职责是：</w:t>
      </w:r>
    </w:p>
    <w:p>
      <w:pPr>
        <w:keepNext w:val="0"/>
        <w:keepLines w:val="0"/>
        <w:pageBreakBefore w:val="0"/>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一）办公室（人事、规划财务）。负责机关日常运转工作，承担机关值班值守、文电、会务、机要、档案、信息、政务公开、督办查办、安全、保密、网络安全和信息化管理等工作；承担机关有关规范性文件合法性审查和清理工作。拟订全县退役军人事业发展规划、年度计划和退役军人管理保障基础设施建设标准。负责机关党务群团、组织人事工作。指导和监督全县退役军人事业资金管理，承担机关财务、资产管理、内部审计、统计等工作；指导局属事业单位资产管理等相关工作。</w:t>
      </w:r>
    </w:p>
    <w:p>
      <w:pPr>
        <w:keepNext w:val="0"/>
        <w:keepLines w:val="0"/>
        <w:pageBreakBefore w:val="0"/>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二）思想政治和权益维护股。承担全县退役军人思想政治、舆论宣传、总结表彰、荣誉奖励工作，监督检查全县退役军人相关法律法规和政策措施的落实情况，配合有关部门指导全县退役军人党建工作，承担全县退役军人权益维护和有关人员的帮扶援助工作；负责全县退役军人事务系统的来信来访及有关信访稳定事宜，承办、转办上级交办的信访案件；推进退役军人服务管理保障体系建设，全面提升退役军人服务管理保障工作水平；承担机关行政复议和行政应诉等工作。</w:t>
      </w:r>
    </w:p>
    <w:p>
      <w:pPr>
        <w:keepNext w:val="0"/>
        <w:keepLines w:val="0"/>
        <w:pageBreakBefore w:val="0"/>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三）退役安置及军休服务管理股。贯彻执行党和国家军队转业干部、复员退伍军人安置政策和安置计划，拟订全县军队转业干部、随调配偶和复员退伍军人安置方案并组织实施；负责军队转业干部、随调配偶、复员退伍军人档案的移交、接收和审核工作；负责中央、省、市驻罗单位计划分配军队转业干部、复员退役军人的接收安置工作；协调推动计划分配军队转业干部、符合政府安置条件退役士兵待遇落实；组织指导军供服务保障工作;负责移交我县的军队离退休干部、无军籍退休退职职工的移交安置和服务管理工作，落实军队离退休干部（遗属）、无军籍退休退职职工相关待遇；组织协调落实离退休军人、符合条件的其他退役军人和无军籍退休退职职工的住房保障工作；管理军休保障单位。</w:t>
      </w:r>
    </w:p>
    <w:p>
      <w:pPr>
        <w:keepNext w:val="0"/>
        <w:keepLines w:val="0"/>
        <w:pageBreakBefore w:val="0"/>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四）就业创业股。拟订全县自主择业军队转业干部、复员干部、自主就业退役士兵就业创业年度计划并组织实施，组织开展就业创业促进和教育培训等工作；做好自主择业、自主就业退役军人服务管理工作；指导开展有关中介服务工作，组织协调落实全县退役军人社会保险等待遇保障工作和就业创业税收、金融等优惠政策。</w:t>
      </w:r>
    </w:p>
    <w:p>
      <w:pPr>
        <w:keepNext w:val="0"/>
        <w:keepLines w:val="0"/>
        <w:pageBreakBefore w:val="0"/>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五）优抚褒扬股。组织指导开展全县拥军优属拥政爱民工作。指导乡镇（街道）做好支持军队相关工作，承担现役军人、退役军人、军队文职人员和军属优待、抚恤等工作；承担不适宜继续服役的伤病残军人相关工作，组织协调落实退役军人医疗保障工作；拟订全县有关退役军人医疗、疗养、养老等机构的规划政策并组织实施；贯彻落实国民党抗战老兵等有关人员优待政策并组织实施；承担全县烈士褒扬、纪念设施、军人公墓建设规划和管理保护工作，承担县政府负责的烈士评定事项并做好烈士备案工作，指导开展全县英雄烈士纪念活动；协调扶持随军随调家属就业创业。</w:t>
      </w:r>
    </w:p>
    <w:p>
      <w:pPr>
        <w:keepNext w:val="0"/>
        <w:keepLines w:val="0"/>
        <w:pageBreakBefore w:val="0"/>
        <w:widowControl/>
        <w:wordWrap/>
        <w:topLinePunct w:val="0"/>
        <w:bidi w:val="0"/>
        <w:spacing w:line="570" w:lineRule="exact"/>
        <w:ind w:firstLine="640" w:firstLineChars="200"/>
        <w:jc w:val="left"/>
        <w:textAlignment w:val="auto"/>
        <w:rPr>
          <w:rStyle w:val="7"/>
          <w:rFonts w:hint="eastAsia" w:ascii="黑体" w:hAnsi="黑体" w:eastAsia="黑体" w:cs="黑体"/>
          <w:b w:val="0"/>
          <w:bCs w:val="0"/>
          <w:color w:val="auto"/>
          <w:kern w:val="0"/>
          <w:sz w:val="32"/>
          <w:szCs w:val="32"/>
          <w:highlight w:val="none"/>
          <w:shd w:val="clear" w:color="auto" w:fill="FFFFFF"/>
          <w:lang w:eastAsia="zh-CN"/>
        </w:rPr>
      </w:pPr>
      <w:r>
        <w:rPr>
          <w:rStyle w:val="7"/>
          <w:rFonts w:hint="eastAsia" w:ascii="黑体" w:hAnsi="黑体" w:eastAsia="黑体" w:cs="黑体"/>
          <w:b w:val="0"/>
          <w:bCs w:val="0"/>
          <w:color w:val="auto"/>
          <w:kern w:val="0"/>
          <w:sz w:val="32"/>
          <w:szCs w:val="32"/>
          <w:highlight w:val="none"/>
          <w:shd w:val="clear" w:color="auto" w:fill="FFFFFF"/>
          <w:lang w:val="en-US" w:eastAsia="zh-CN"/>
        </w:rPr>
        <w:t>三</w:t>
      </w:r>
      <w:r>
        <w:rPr>
          <w:rStyle w:val="7"/>
          <w:rFonts w:hint="eastAsia" w:ascii="黑体" w:hAnsi="黑体" w:eastAsia="黑体" w:cs="黑体"/>
          <w:b w:val="0"/>
          <w:bCs w:val="0"/>
          <w:color w:val="auto"/>
          <w:kern w:val="0"/>
          <w:sz w:val="32"/>
          <w:szCs w:val="32"/>
          <w:highlight w:val="none"/>
          <w:shd w:val="clear" w:color="auto" w:fill="FFFFFF"/>
        </w:rPr>
        <w:t>、</w:t>
      </w:r>
      <w:r>
        <w:rPr>
          <w:rStyle w:val="7"/>
          <w:rFonts w:hint="eastAsia" w:ascii="黑体" w:hAnsi="黑体" w:eastAsia="黑体" w:cs="黑体"/>
          <w:b w:val="0"/>
          <w:bCs w:val="0"/>
          <w:color w:val="auto"/>
          <w:kern w:val="0"/>
          <w:sz w:val="32"/>
          <w:szCs w:val="32"/>
          <w:highlight w:val="none"/>
          <w:shd w:val="clear" w:color="auto" w:fill="FFFFFF"/>
          <w:lang w:val="en-US" w:eastAsia="zh-CN"/>
        </w:rPr>
        <w:t>部门</w:t>
      </w:r>
      <w:r>
        <w:rPr>
          <w:rStyle w:val="7"/>
          <w:rFonts w:hint="eastAsia" w:ascii="黑体" w:hAnsi="黑体" w:eastAsia="黑体" w:cs="黑体"/>
          <w:b w:val="0"/>
          <w:bCs w:val="0"/>
          <w:color w:val="auto"/>
          <w:kern w:val="0"/>
          <w:sz w:val="32"/>
          <w:szCs w:val="32"/>
          <w:highlight w:val="none"/>
          <w:shd w:val="clear" w:color="auto" w:fill="FFFFFF"/>
        </w:rPr>
        <w:t>预算单位构成</w:t>
      </w:r>
    </w:p>
    <w:p>
      <w:pPr>
        <w:keepNext w:val="0"/>
        <w:keepLines w:val="0"/>
        <w:pageBreakBefore w:val="0"/>
        <w:widowControl/>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罗山县退役军人事务局</w:t>
      </w:r>
      <w:r>
        <w:rPr>
          <w:rFonts w:hint="eastAsia" w:ascii="仿宋_GB2312" w:hAnsi="仿宋_GB2312" w:eastAsia="仿宋_GB2312" w:cs="仿宋_GB2312"/>
          <w:b w:val="0"/>
          <w:bCs w:val="0"/>
          <w:color w:val="auto"/>
          <w:kern w:val="0"/>
          <w:sz w:val="32"/>
          <w:szCs w:val="32"/>
          <w:highlight w:val="none"/>
          <w:shd w:val="clear" w:color="auto" w:fill="FFFFFF"/>
        </w:rPr>
        <w:t>部门预算包括局机关本级预算和所属二级单位预算在内的汇总预算。包括：</w:t>
      </w:r>
    </w:p>
    <w:p>
      <w:pPr>
        <w:keepNext w:val="0"/>
        <w:keepLines w:val="0"/>
        <w:pageBreakBefore w:val="0"/>
        <w:widowControl/>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rPr>
        <w:t>1.</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罗山县退役军人事务局</w:t>
      </w:r>
    </w:p>
    <w:p>
      <w:pPr>
        <w:keepNext w:val="0"/>
        <w:keepLines w:val="0"/>
        <w:pageBreakBefore w:val="0"/>
        <w:widowControl/>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rPr>
        <w:t>2.</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罗山县光荣院</w:t>
      </w:r>
    </w:p>
    <w:p>
      <w:pPr>
        <w:keepNext w:val="0"/>
        <w:keepLines w:val="0"/>
        <w:pageBreakBefore w:val="0"/>
        <w:widowControl/>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rPr>
        <w:t>3.</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烈士陵园事务处</w:t>
      </w:r>
    </w:p>
    <w:p>
      <w:pPr>
        <w:keepNext w:val="0"/>
        <w:keepLines w:val="0"/>
        <w:pageBreakBefore w:val="0"/>
        <w:widowControl/>
        <w:shd w:val="clear" w:color="auto" w:fill="FFFFFF"/>
        <w:wordWrap/>
        <w:topLinePunct w:val="0"/>
        <w:bidi w:val="0"/>
        <w:spacing w:line="570" w:lineRule="exact"/>
        <w:ind w:firstLine="640" w:firstLineChars="200"/>
        <w:jc w:val="left"/>
        <w:textAlignment w:val="auto"/>
        <w:rPr>
          <w:rStyle w:val="7"/>
          <w:rFonts w:hint="eastAsia" w:ascii="仿宋_GB2312" w:hAnsi="仿宋_GB2312" w:eastAsia="仿宋_GB2312" w:cs="仿宋_GB2312"/>
          <w:b w:val="0"/>
          <w:bCs w:val="0"/>
          <w:color w:val="auto"/>
          <w:kern w:val="0"/>
          <w:sz w:val="32"/>
          <w:szCs w:val="32"/>
          <w:highlight w:val="none"/>
          <w:shd w:val="clear" w:color="auto" w:fill="FFFFFF"/>
          <w:lang w:eastAsia="zh-CN"/>
        </w:rPr>
      </w:pPr>
    </w:p>
    <w:p>
      <w:pPr>
        <w:keepNext w:val="0"/>
        <w:keepLines w:val="0"/>
        <w:pageBreakBefore w:val="0"/>
        <w:widowControl/>
        <w:shd w:val="clear" w:color="auto" w:fill="FFFFFF"/>
        <w:wordWrap/>
        <w:topLinePunct w:val="0"/>
        <w:bidi w:val="0"/>
        <w:spacing w:line="570" w:lineRule="exact"/>
        <w:jc w:val="center"/>
        <w:textAlignment w:val="auto"/>
        <w:rPr>
          <w:rStyle w:val="7"/>
          <w:rFonts w:hint="eastAsia" w:ascii="黑体" w:hAnsi="黑体" w:eastAsia="黑体" w:cs="黑体"/>
          <w:b w:val="0"/>
          <w:bCs w:val="0"/>
          <w:color w:val="auto"/>
          <w:kern w:val="0"/>
          <w:sz w:val="32"/>
          <w:szCs w:val="32"/>
          <w:highlight w:val="none"/>
          <w:shd w:val="clear" w:color="auto" w:fill="FFFFFF"/>
          <w:lang w:eastAsia="zh-CN"/>
        </w:rPr>
      </w:pPr>
      <w:r>
        <w:rPr>
          <w:rStyle w:val="7"/>
          <w:rFonts w:hint="eastAsia" w:ascii="黑体" w:hAnsi="黑体" w:eastAsia="黑体" w:cs="黑体"/>
          <w:b w:val="0"/>
          <w:bCs w:val="0"/>
          <w:color w:val="auto"/>
          <w:kern w:val="0"/>
          <w:sz w:val="32"/>
          <w:szCs w:val="32"/>
          <w:highlight w:val="none"/>
          <w:shd w:val="clear" w:color="auto" w:fill="FFFFFF"/>
        </w:rPr>
        <w:t>第二部分</w:t>
      </w:r>
    </w:p>
    <w:p>
      <w:pPr>
        <w:keepNext w:val="0"/>
        <w:keepLines w:val="0"/>
        <w:pageBreakBefore w:val="0"/>
        <w:widowControl/>
        <w:shd w:val="clear" w:color="auto" w:fill="FFFFFF"/>
        <w:wordWrap/>
        <w:topLinePunct w:val="0"/>
        <w:bidi w:val="0"/>
        <w:spacing w:line="570" w:lineRule="exact"/>
        <w:jc w:val="center"/>
        <w:textAlignment w:val="auto"/>
        <w:rPr>
          <w:rStyle w:val="7"/>
          <w:rFonts w:hint="eastAsia" w:ascii="黑体" w:hAnsi="黑体" w:eastAsia="黑体" w:cs="黑体"/>
          <w:b w:val="0"/>
          <w:bCs w:val="0"/>
          <w:color w:val="auto"/>
          <w:kern w:val="0"/>
          <w:sz w:val="32"/>
          <w:szCs w:val="32"/>
          <w:highlight w:val="none"/>
          <w:shd w:val="clear" w:color="auto" w:fill="FFFFFF"/>
        </w:rPr>
      </w:pPr>
      <w:r>
        <w:rPr>
          <w:rStyle w:val="7"/>
          <w:rFonts w:hint="eastAsia" w:ascii="黑体" w:hAnsi="黑体" w:eastAsia="黑体" w:cs="黑体"/>
          <w:b w:val="0"/>
          <w:bCs w:val="0"/>
          <w:color w:val="auto"/>
          <w:kern w:val="0"/>
          <w:sz w:val="32"/>
          <w:szCs w:val="32"/>
          <w:highlight w:val="none"/>
          <w:shd w:val="clear" w:color="auto" w:fill="FFFFFF"/>
          <w:lang w:val="en-US" w:eastAsia="zh-CN"/>
        </w:rPr>
        <w:t>罗山县退役军人事务局</w:t>
      </w:r>
      <w:r>
        <w:rPr>
          <w:rStyle w:val="7"/>
          <w:rFonts w:hint="eastAsia" w:ascii="黑体" w:hAnsi="黑体" w:eastAsia="黑体" w:cs="黑体"/>
          <w:b w:val="0"/>
          <w:bCs w:val="0"/>
          <w:color w:val="auto"/>
          <w:kern w:val="0"/>
          <w:sz w:val="32"/>
          <w:szCs w:val="32"/>
          <w:highlight w:val="none"/>
          <w:shd w:val="clear" w:color="auto" w:fill="FFFFFF"/>
        </w:rPr>
        <w:t>2021年度部门预算情况说明</w:t>
      </w:r>
    </w:p>
    <w:p>
      <w:pPr>
        <w:keepNext w:val="0"/>
        <w:keepLines w:val="0"/>
        <w:pageBreakBefore w:val="0"/>
        <w:widowControl/>
        <w:shd w:val="clear" w:color="auto" w:fill="FFFFFF"/>
        <w:wordWrap/>
        <w:topLinePunct w:val="0"/>
        <w:bidi w:val="0"/>
        <w:spacing w:line="570" w:lineRule="exact"/>
        <w:jc w:val="center"/>
        <w:textAlignment w:val="auto"/>
        <w:rPr>
          <w:rStyle w:val="7"/>
          <w:rFonts w:hint="eastAsia" w:ascii="黑体" w:hAnsi="黑体" w:eastAsia="黑体" w:cs="黑体"/>
          <w:b w:val="0"/>
          <w:bCs w:val="0"/>
          <w:color w:val="auto"/>
          <w:kern w:val="0"/>
          <w:sz w:val="32"/>
          <w:szCs w:val="32"/>
          <w:highlight w:val="none"/>
          <w:shd w:val="clear" w:color="auto" w:fill="FFFFFF"/>
        </w:rPr>
      </w:pPr>
    </w:p>
    <w:p>
      <w:pPr>
        <w:keepNext w:val="0"/>
        <w:keepLines w:val="0"/>
        <w:pageBreakBefore w:val="0"/>
        <w:widowControl/>
        <w:wordWrap/>
        <w:topLinePunct w:val="0"/>
        <w:bidi w:val="0"/>
        <w:spacing w:line="570" w:lineRule="exact"/>
        <w:ind w:firstLine="640" w:firstLineChars="200"/>
        <w:jc w:val="left"/>
        <w:textAlignment w:val="auto"/>
        <w:rPr>
          <w:rStyle w:val="7"/>
          <w:rFonts w:hint="eastAsia" w:ascii="黑体" w:hAnsi="黑体" w:eastAsia="黑体" w:cs="黑体"/>
          <w:b w:val="0"/>
          <w:bCs w:val="0"/>
          <w:color w:val="auto"/>
          <w:kern w:val="0"/>
          <w:sz w:val="32"/>
          <w:szCs w:val="32"/>
          <w:highlight w:val="none"/>
          <w:shd w:val="clear" w:color="auto" w:fill="FFFFFF"/>
          <w:lang w:eastAsia="zh-CN"/>
        </w:rPr>
      </w:pPr>
      <w:r>
        <w:rPr>
          <w:rStyle w:val="7"/>
          <w:rFonts w:hint="eastAsia" w:ascii="黑体" w:hAnsi="黑体" w:eastAsia="黑体" w:cs="黑体"/>
          <w:b w:val="0"/>
          <w:bCs w:val="0"/>
          <w:color w:val="auto"/>
          <w:kern w:val="0"/>
          <w:sz w:val="32"/>
          <w:szCs w:val="32"/>
          <w:highlight w:val="none"/>
          <w:shd w:val="clear" w:color="auto" w:fill="FFFFFF"/>
        </w:rPr>
        <w:t>一、收入支出预算总体情况说明</w:t>
      </w:r>
    </w:p>
    <w:p>
      <w:pPr>
        <w:keepNext w:val="0"/>
        <w:keepLines w:val="0"/>
        <w:pageBreakBefore w:val="0"/>
        <w:widowControl/>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罗山县退役军人事务局</w:t>
      </w:r>
      <w:r>
        <w:rPr>
          <w:rFonts w:hint="eastAsia" w:ascii="仿宋_GB2312" w:hAnsi="仿宋_GB2312" w:eastAsia="仿宋_GB2312" w:cs="仿宋_GB2312"/>
          <w:b w:val="0"/>
          <w:bCs w:val="0"/>
          <w:color w:val="auto"/>
          <w:kern w:val="0"/>
          <w:sz w:val="32"/>
          <w:szCs w:val="32"/>
          <w:highlight w:val="none"/>
          <w:shd w:val="clear" w:color="auto" w:fill="FFFFFF"/>
        </w:rPr>
        <w:t>2021年收入总计</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14732668</w:t>
      </w:r>
      <w:r>
        <w:rPr>
          <w:rFonts w:hint="eastAsia" w:ascii="仿宋_GB2312" w:hAnsi="仿宋_GB2312" w:eastAsia="仿宋_GB2312" w:cs="仿宋_GB2312"/>
          <w:b w:val="0"/>
          <w:bCs w:val="0"/>
          <w:color w:val="auto"/>
          <w:kern w:val="0"/>
          <w:sz w:val="32"/>
          <w:szCs w:val="32"/>
          <w:highlight w:val="none"/>
          <w:shd w:val="clear" w:color="auto" w:fill="FFFFFF"/>
        </w:rPr>
        <w:t>元，支出总计</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14732668</w:t>
      </w:r>
      <w:r>
        <w:rPr>
          <w:rFonts w:hint="eastAsia" w:ascii="仿宋_GB2312" w:hAnsi="仿宋_GB2312" w:eastAsia="仿宋_GB2312" w:cs="仿宋_GB2312"/>
          <w:b w:val="0"/>
          <w:bCs w:val="0"/>
          <w:color w:val="auto"/>
          <w:kern w:val="0"/>
          <w:sz w:val="32"/>
          <w:szCs w:val="32"/>
          <w:highlight w:val="none"/>
          <w:shd w:val="clear" w:color="auto" w:fill="FFFFFF"/>
        </w:rPr>
        <w:t>元，与2020年预算相比，收、</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支总计减少了867847元，减少6%。</w:t>
      </w:r>
      <w:r>
        <w:rPr>
          <w:rFonts w:hint="eastAsia" w:ascii="仿宋_GB2312" w:hAnsi="仿宋_GB2312" w:eastAsia="仿宋_GB2312" w:cs="仿宋_GB2312"/>
          <w:b w:val="0"/>
          <w:bCs w:val="0"/>
          <w:color w:val="auto"/>
          <w:kern w:val="0"/>
          <w:sz w:val="32"/>
          <w:szCs w:val="32"/>
          <w:highlight w:val="none"/>
          <w:shd w:val="clear" w:color="auto" w:fill="FFFFFF"/>
        </w:rPr>
        <w:t>主要原因：</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全县重点优抚对象部分减员</w:t>
      </w:r>
      <w:r>
        <w:rPr>
          <w:rFonts w:hint="eastAsia" w:ascii="仿宋_GB2312" w:hAnsi="仿宋_GB2312" w:eastAsia="仿宋_GB2312" w:cs="仿宋_GB2312"/>
          <w:b w:val="0"/>
          <w:bCs w:val="0"/>
          <w:color w:val="auto"/>
          <w:kern w:val="0"/>
          <w:sz w:val="32"/>
          <w:szCs w:val="32"/>
          <w:highlight w:val="none"/>
          <w:shd w:val="clear" w:color="auto" w:fill="FFFFFF"/>
        </w:rPr>
        <w:t>。</w:t>
      </w:r>
    </w:p>
    <w:p>
      <w:pPr>
        <w:keepNext w:val="0"/>
        <w:keepLines w:val="0"/>
        <w:pageBreakBefore w:val="0"/>
        <w:widowControl/>
        <w:wordWrap/>
        <w:topLinePunct w:val="0"/>
        <w:bidi w:val="0"/>
        <w:spacing w:line="570" w:lineRule="exact"/>
        <w:ind w:firstLine="640" w:firstLineChars="200"/>
        <w:jc w:val="left"/>
        <w:textAlignment w:val="auto"/>
        <w:rPr>
          <w:rStyle w:val="7"/>
          <w:rFonts w:hint="eastAsia" w:ascii="黑体" w:hAnsi="黑体" w:eastAsia="黑体" w:cs="黑体"/>
          <w:b w:val="0"/>
          <w:bCs w:val="0"/>
          <w:color w:val="auto"/>
          <w:kern w:val="0"/>
          <w:sz w:val="32"/>
          <w:szCs w:val="32"/>
          <w:highlight w:val="none"/>
          <w:shd w:val="clear" w:color="auto" w:fill="FFFFFF"/>
          <w:lang w:eastAsia="zh-CN"/>
        </w:rPr>
      </w:pPr>
      <w:r>
        <w:rPr>
          <w:rStyle w:val="7"/>
          <w:rFonts w:hint="eastAsia" w:ascii="黑体" w:hAnsi="黑体" w:eastAsia="黑体" w:cs="黑体"/>
          <w:b w:val="0"/>
          <w:bCs w:val="0"/>
          <w:color w:val="auto"/>
          <w:kern w:val="0"/>
          <w:sz w:val="32"/>
          <w:szCs w:val="32"/>
          <w:highlight w:val="none"/>
          <w:shd w:val="clear" w:color="auto" w:fill="FFFFFF"/>
        </w:rPr>
        <w:t>二、收入预算总体情况说明</w:t>
      </w:r>
    </w:p>
    <w:p>
      <w:pPr>
        <w:keepNext w:val="0"/>
        <w:keepLines w:val="0"/>
        <w:pageBreakBefore w:val="0"/>
        <w:widowControl/>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罗山县退役军人事务局</w:t>
      </w:r>
      <w:r>
        <w:rPr>
          <w:rFonts w:hint="eastAsia" w:ascii="仿宋_GB2312" w:hAnsi="仿宋_GB2312" w:eastAsia="仿宋_GB2312" w:cs="仿宋_GB2312"/>
          <w:b w:val="0"/>
          <w:bCs w:val="0"/>
          <w:color w:val="auto"/>
          <w:kern w:val="0"/>
          <w:sz w:val="32"/>
          <w:szCs w:val="32"/>
          <w:highlight w:val="none"/>
          <w:shd w:val="clear" w:color="auto" w:fill="FFFFFF"/>
        </w:rPr>
        <w:t>2021年收入合计</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14732668</w:t>
      </w:r>
      <w:r>
        <w:rPr>
          <w:rFonts w:hint="eastAsia" w:ascii="仿宋_GB2312" w:hAnsi="仿宋_GB2312" w:eastAsia="仿宋_GB2312" w:cs="仿宋_GB2312"/>
          <w:b w:val="0"/>
          <w:bCs w:val="0"/>
          <w:color w:val="auto"/>
          <w:kern w:val="0"/>
          <w:sz w:val="32"/>
          <w:szCs w:val="32"/>
          <w:highlight w:val="none"/>
          <w:shd w:val="clear" w:color="auto" w:fill="FFFFFF"/>
        </w:rPr>
        <w:t>元，其中：一般公共预算</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1474368</w:t>
      </w:r>
      <w:r>
        <w:rPr>
          <w:rFonts w:hint="eastAsia" w:ascii="仿宋_GB2312" w:hAnsi="仿宋_GB2312" w:eastAsia="仿宋_GB2312" w:cs="仿宋_GB2312"/>
          <w:b w:val="0"/>
          <w:bCs w:val="0"/>
          <w:color w:val="auto"/>
          <w:kern w:val="0"/>
          <w:sz w:val="32"/>
          <w:szCs w:val="32"/>
          <w:highlight w:val="none"/>
          <w:shd w:val="clear" w:color="auto" w:fill="FFFFFF"/>
        </w:rPr>
        <w:t>元;</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专项收入13258300元。</w:t>
      </w:r>
    </w:p>
    <w:p>
      <w:pPr>
        <w:keepNext w:val="0"/>
        <w:keepLines w:val="0"/>
        <w:pageBreakBefore w:val="0"/>
        <w:widowControl/>
        <w:wordWrap/>
        <w:topLinePunct w:val="0"/>
        <w:bidi w:val="0"/>
        <w:spacing w:line="570" w:lineRule="exact"/>
        <w:ind w:firstLine="640" w:firstLineChars="200"/>
        <w:jc w:val="left"/>
        <w:textAlignment w:val="auto"/>
        <w:rPr>
          <w:rStyle w:val="7"/>
          <w:rFonts w:hint="eastAsia" w:ascii="黑体" w:hAnsi="黑体" w:eastAsia="黑体" w:cs="黑体"/>
          <w:b w:val="0"/>
          <w:bCs w:val="0"/>
          <w:color w:val="auto"/>
          <w:kern w:val="0"/>
          <w:sz w:val="32"/>
          <w:szCs w:val="32"/>
          <w:highlight w:val="none"/>
          <w:shd w:val="clear" w:color="auto" w:fill="FFFFFF"/>
          <w:lang w:eastAsia="zh-CN"/>
        </w:rPr>
      </w:pPr>
      <w:r>
        <w:rPr>
          <w:rStyle w:val="7"/>
          <w:rFonts w:hint="eastAsia" w:ascii="黑体" w:hAnsi="黑体" w:eastAsia="黑体" w:cs="黑体"/>
          <w:b w:val="0"/>
          <w:bCs w:val="0"/>
          <w:color w:val="auto"/>
          <w:kern w:val="0"/>
          <w:sz w:val="32"/>
          <w:szCs w:val="32"/>
          <w:highlight w:val="none"/>
          <w:shd w:val="clear" w:color="auto" w:fill="FFFFFF"/>
        </w:rPr>
        <w:t>三、支出预算总体情况说明</w:t>
      </w:r>
    </w:p>
    <w:p>
      <w:pPr>
        <w:keepNext w:val="0"/>
        <w:keepLines w:val="0"/>
        <w:pageBreakBefore w:val="0"/>
        <w:widowControl/>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罗山县退役军人事务局</w:t>
      </w:r>
      <w:r>
        <w:rPr>
          <w:rFonts w:hint="eastAsia" w:ascii="仿宋_GB2312" w:hAnsi="仿宋_GB2312" w:eastAsia="仿宋_GB2312" w:cs="仿宋_GB2312"/>
          <w:b w:val="0"/>
          <w:bCs w:val="0"/>
          <w:color w:val="auto"/>
          <w:kern w:val="0"/>
          <w:sz w:val="32"/>
          <w:szCs w:val="32"/>
          <w:highlight w:val="none"/>
          <w:shd w:val="clear" w:color="auto" w:fill="FFFFFF"/>
        </w:rPr>
        <w:t>2021年支出合计</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14732668</w:t>
      </w:r>
      <w:r>
        <w:rPr>
          <w:rFonts w:hint="eastAsia" w:ascii="仿宋_GB2312" w:hAnsi="仿宋_GB2312" w:eastAsia="仿宋_GB2312" w:cs="仿宋_GB2312"/>
          <w:b w:val="0"/>
          <w:bCs w:val="0"/>
          <w:color w:val="auto"/>
          <w:kern w:val="0"/>
          <w:sz w:val="32"/>
          <w:szCs w:val="32"/>
          <w:highlight w:val="none"/>
          <w:shd w:val="clear" w:color="auto" w:fill="FFFFFF"/>
        </w:rPr>
        <w:t>元，其中：基本支出</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1474368</w:t>
      </w:r>
      <w:r>
        <w:rPr>
          <w:rFonts w:hint="eastAsia" w:ascii="仿宋_GB2312" w:hAnsi="仿宋_GB2312" w:eastAsia="仿宋_GB2312" w:cs="仿宋_GB2312"/>
          <w:b w:val="0"/>
          <w:bCs w:val="0"/>
          <w:color w:val="auto"/>
          <w:kern w:val="0"/>
          <w:sz w:val="32"/>
          <w:szCs w:val="32"/>
          <w:highlight w:val="none"/>
          <w:shd w:val="clear" w:color="auto" w:fill="FFFFFF"/>
        </w:rPr>
        <w:t>元，占</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10</w:t>
      </w:r>
      <w:r>
        <w:rPr>
          <w:rFonts w:hint="eastAsia" w:ascii="仿宋_GB2312" w:hAnsi="仿宋_GB2312" w:eastAsia="仿宋_GB2312" w:cs="仿宋_GB2312"/>
          <w:b w:val="0"/>
          <w:bCs w:val="0"/>
          <w:color w:val="auto"/>
          <w:kern w:val="0"/>
          <w:sz w:val="32"/>
          <w:szCs w:val="32"/>
          <w:highlight w:val="none"/>
          <w:shd w:val="clear" w:color="auto" w:fill="FFFFFF"/>
        </w:rPr>
        <w:t>%；</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项目支出</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13258300元</w:t>
      </w:r>
      <w:r>
        <w:rPr>
          <w:rFonts w:hint="eastAsia" w:ascii="仿宋_GB2312" w:hAnsi="仿宋_GB2312" w:eastAsia="仿宋_GB2312" w:cs="仿宋_GB2312"/>
          <w:b w:val="0"/>
          <w:bCs w:val="0"/>
          <w:color w:val="auto"/>
          <w:kern w:val="0"/>
          <w:sz w:val="32"/>
          <w:szCs w:val="32"/>
          <w:highlight w:val="none"/>
          <w:shd w:val="clear" w:color="auto" w:fill="FFFFFF"/>
        </w:rPr>
        <w:t>，占</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90</w:t>
      </w:r>
      <w:r>
        <w:rPr>
          <w:rFonts w:hint="eastAsia" w:ascii="仿宋_GB2312" w:hAnsi="仿宋_GB2312" w:eastAsia="仿宋_GB2312" w:cs="仿宋_GB2312"/>
          <w:b w:val="0"/>
          <w:bCs w:val="0"/>
          <w:color w:val="auto"/>
          <w:kern w:val="0"/>
          <w:sz w:val="32"/>
          <w:szCs w:val="32"/>
          <w:highlight w:val="none"/>
          <w:shd w:val="clear" w:color="auto" w:fill="FFFFFF"/>
        </w:rPr>
        <w:t>%。</w:t>
      </w:r>
    </w:p>
    <w:p>
      <w:pPr>
        <w:keepNext w:val="0"/>
        <w:keepLines w:val="0"/>
        <w:pageBreakBefore w:val="0"/>
        <w:widowControl/>
        <w:wordWrap/>
        <w:topLinePunct w:val="0"/>
        <w:bidi w:val="0"/>
        <w:spacing w:line="570" w:lineRule="exact"/>
        <w:ind w:firstLine="640" w:firstLineChars="200"/>
        <w:jc w:val="left"/>
        <w:textAlignment w:val="auto"/>
        <w:rPr>
          <w:rStyle w:val="7"/>
          <w:rFonts w:hint="eastAsia" w:ascii="黑体" w:hAnsi="黑体" w:eastAsia="黑体" w:cs="黑体"/>
          <w:b w:val="0"/>
          <w:bCs w:val="0"/>
          <w:color w:val="auto"/>
          <w:kern w:val="0"/>
          <w:sz w:val="32"/>
          <w:szCs w:val="32"/>
          <w:highlight w:val="none"/>
          <w:shd w:val="clear" w:color="auto" w:fill="FFFFFF"/>
          <w:lang w:eastAsia="zh-CN"/>
        </w:rPr>
      </w:pPr>
      <w:r>
        <w:rPr>
          <w:rStyle w:val="7"/>
          <w:rFonts w:hint="eastAsia" w:ascii="黑体" w:hAnsi="黑体" w:eastAsia="黑体" w:cs="黑体"/>
          <w:b w:val="0"/>
          <w:bCs w:val="0"/>
          <w:color w:val="auto"/>
          <w:kern w:val="0"/>
          <w:sz w:val="32"/>
          <w:szCs w:val="32"/>
          <w:highlight w:val="none"/>
          <w:shd w:val="clear" w:color="auto" w:fill="FFFFFF"/>
        </w:rPr>
        <w:t>四、财政拨款收入支出预算总体情况说明</w:t>
      </w:r>
    </w:p>
    <w:p>
      <w:pPr>
        <w:keepNext w:val="0"/>
        <w:keepLines w:val="0"/>
        <w:pageBreakBefore w:val="0"/>
        <w:widowControl/>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罗山县退役军人事务局</w:t>
      </w:r>
      <w:r>
        <w:rPr>
          <w:rFonts w:hint="eastAsia" w:ascii="仿宋_GB2312" w:hAnsi="仿宋_GB2312" w:eastAsia="仿宋_GB2312" w:cs="仿宋_GB2312"/>
          <w:b w:val="0"/>
          <w:bCs w:val="0"/>
          <w:color w:val="auto"/>
          <w:kern w:val="0"/>
          <w:sz w:val="32"/>
          <w:szCs w:val="32"/>
          <w:highlight w:val="none"/>
          <w:shd w:val="clear" w:color="auto" w:fill="FFFFFF"/>
        </w:rPr>
        <w:t>2021年一般公共预算收支预算</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14732668</w:t>
      </w:r>
      <w:r>
        <w:rPr>
          <w:rFonts w:hint="eastAsia" w:ascii="仿宋_GB2312" w:hAnsi="仿宋_GB2312" w:eastAsia="仿宋_GB2312" w:cs="仿宋_GB2312"/>
          <w:b w:val="0"/>
          <w:bCs w:val="0"/>
          <w:color w:val="auto"/>
          <w:kern w:val="0"/>
          <w:sz w:val="32"/>
          <w:szCs w:val="32"/>
          <w:highlight w:val="none"/>
          <w:shd w:val="clear" w:color="auto" w:fill="FFFFFF"/>
        </w:rPr>
        <w:t>元，与2020年相比，一般公共预算收支</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总计减少了867487</w:t>
      </w:r>
      <w:r>
        <w:rPr>
          <w:rFonts w:hint="eastAsia" w:ascii="仿宋_GB2312" w:hAnsi="仿宋_GB2312" w:eastAsia="仿宋_GB2312" w:cs="仿宋_GB2312"/>
          <w:b w:val="0"/>
          <w:bCs w:val="0"/>
          <w:color w:val="auto"/>
          <w:kern w:val="0"/>
          <w:sz w:val="32"/>
          <w:szCs w:val="32"/>
          <w:highlight w:val="none"/>
          <w:shd w:val="clear" w:color="auto" w:fill="FFFFFF"/>
        </w:rPr>
        <w:t>元，</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减少6</w:t>
      </w:r>
      <w:r>
        <w:rPr>
          <w:rFonts w:hint="eastAsia" w:ascii="仿宋_GB2312" w:hAnsi="仿宋_GB2312" w:eastAsia="仿宋_GB2312" w:cs="仿宋_GB2312"/>
          <w:b w:val="0"/>
          <w:bCs w:val="0"/>
          <w:color w:val="auto"/>
          <w:kern w:val="0"/>
          <w:sz w:val="32"/>
          <w:szCs w:val="32"/>
          <w:highlight w:val="none"/>
          <w:shd w:val="clear" w:color="auto" w:fill="FFFFFF"/>
        </w:rPr>
        <w:t>%，主要原因：</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全县重点优抚对象部分减员。</w:t>
      </w:r>
    </w:p>
    <w:p>
      <w:pPr>
        <w:keepNext w:val="0"/>
        <w:keepLines w:val="0"/>
        <w:pageBreakBefore w:val="0"/>
        <w:widowControl/>
        <w:wordWrap/>
        <w:topLinePunct w:val="0"/>
        <w:bidi w:val="0"/>
        <w:spacing w:line="570" w:lineRule="exact"/>
        <w:ind w:firstLine="640" w:firstLineChars="200"/>
        <w:jc w:val="left"/>
        <w:textAlignment w:val="auto"/>
        <w:rPr>
          <w:rStyle w:val="7"/>
          <w:rFonts w:hint="eastAsia" w:ascii="黑体" w:hAnsi="黑体" w:eastAsia="黑体" w:cs="黑体"/>
          <w:b w:val="0"/>
          <w:bCs w:val="0"/>
          <w:color w:val="auto"/>
          <w:kern w:val="0"/>
          <w:sz w:val="32"/>
          <w:szCs w:val="32"/>
          <w:highlight w:val="none"/>
          <w:shd w:val="clear" w:color="auto" w:fill="FFFFFF"/>
          <w:lang w:eastAsia="zh-CN"/>
        </w:rPr>
      </w:pPr>
      <w:r>
        <w:rPr>
          <w:rStyle w:val="7"/>
          <w:rFonts w:hint="eastAsia" w:ascii="黑体" w:hAnsi="黑体" w:eastAsia="黑体" w:cs="黑体"/>
          <w:b w:val="0"/>
          <w:bCs w:val="0"/>
          <w:color w:val="auto"/>
          <w:kern w:val="0"/>
          <w:sz w:val="32"/>
          <w:szCs w:val="32"/>
          <w:highlight w:val="none"/>
          <w:shd w:val="clear" w:color="auto" w:fill="FFFFFF"/>
        </w:rPr>
        <w:t>五、一般公共预算支出预算情况说明</w:t>
      </w:r>
    </w:p>
    <w:p>
      <w:pPr>
        <w:keepNext w:val="0"/>
        <w:keepLines w:val="0"/>
        <w:pageBreakBefore w:val="0"/>
        <w:widowControl/>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罗山县退役军人事务局</w:t>
      </w:r>
      <w:r>
        <w:rPr>
          <w:rFonts w:hint="eastAsia" w:ascii="仿宋_GB2312" w:hAnsi="仿宋_GB2312" w:eastAsia="仿宋_GB2312" w:cs="仿宋_GB2312"/>
          <w:b w:val="0"/>
          <w:bCs w:val="0"/>
          <w:color w:val="auto"/>
          <w:kern w:val="0"/>
          <w:sz w:val="32"/>
          <w:szCs w:val="32"/>
          <w:highlight w:val="none"/>
          <w:shd w:val="clear" w:color="auto" w:fill="FFFFFF"/>
        </w:rPr>
        <w:t>2021年一般公共预算支出年初预算为</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1474368</w:t>
      </w:r>
      <w:r>
        <w:rPr>
          <w:rFonts w:hint="eastAsia" w:ascii="仿宋_GB2312" w:hAnsi="仿宋_GB2312" w:eastAsia="仿宋_GB2312" w:cs="仿宋_GB2312"/>
          <w:b w:val="0"/>
          <w:bCs w:val="0"/>
          <w:color w:val="auto"/>
          <w:kern w:val="0"/>
          <w:sz w:val="32"/>
          <w:szCs w:val="32"/>
          <w:highlight w:val="none"/>
          <w:shd w:val="clear" w:color="auto" w:fill="FFFFFF"/>
        </w:rPr>
        <w:t>元。主要用于以下方面：工资</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福利支出1418144元，</w:t>
      </w:r>
      <w:r>
        <w:rPr>
          <w:rFonts w:hint="eastAsia" w:ascii="仿宋_GB2312" w:hAnsi="仿宋_GB2312" w:eastAsia="仿宋_GB2312" w:cs="仿宋_GB2312"/>
          <w:b w:val="0"/>
          <w:bCs w:val="0"/>
          <w:color w:val="auto"/>
          <w:kern w:val="0"/>
          <w:sz w:val="32"/>
          <w:szCs w:val="32"/>
          <w:highlight w:val="none"/>
          <w:shd w:val="clear" w:color="auto" w:fill="FFFFFF"/>
        </w:rPr>
        <w:t>占年初预算</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96</w:t>
      </w:r>
      <w:r>
        <w:rPr>
          <w:rFonts w:hint="eastAsia" w:ascii="仿宋_GB2312" w:hAnsi="仿宋_GB2312" w:eastAsia="仿宋_GB2312" w:cs="仿宋_GB2312"/>
          <w:b w:val="0"/>
          <w:bCs w:val="0"/>
          <w:color w:val="auto"/>
          <w:kern w:val="0"/>
          <w:sz w:val="32"/>
          <w:szCs w:val="32"/>
          <w:highlight w:val="none"/>
          <w:shd w:val="clear" w:color="auto" w:fill="FFFFFF"/>
        </w:rPr>
        <w:t>%；</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商品和服务</w:t>
      </w:r>
      <w:r>
        <w:rPr>
          <w:rFonts w:hint="eastAsia" w:ascii="仿宋_GB2312" w:hAnsi="仿宋_GB2312" w:eastAsia="仿宋_GB2312" w:cs="仿宋_GB2312"/>
          <w:b w:val="0"/>
          <w:bCs w:val="0"/>
          <w:color w:val="auto"/>
          <w:kern w:val="0"/>
          <w:sz w:val="32"/>
          <w:szCs w:val="32"/>
          <w:highlight w:val="none"/>
          <w:shd w:val="clear" w:color="auto" w:fill="FFFFFF"/>
        </w:rPr>
        <w:t>支出</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56224</w:t>
      </w:r>
      <w:r>
        <w:rPr>
          <w:rFonts w:hint="eastAsia" w:ascii="仿宋_GB2312" w:hAnsi="仿宋_GB2312" w:eastAsia="仿宋_GB2312" w:cs="仿宋_GB2312"/>
          <w:b w:val="0"/>
          <w:bCs w:val="0"/>
          <w:color w:val="auto"/>
          <w:kern w:val="0"/>
          <w:sz w:val="32"/>
          <w:szCs w:val="32"/>
          <w:highlight w:val="none"/>
          <w:shd w:val="clear" w:color="auto" w:fill="FFFFFF"/>
        </w:rPr>
        <w:t>元，占年初预算</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4</w:t>
      </w:r>
      <w:r>
        <w:rPr>
          <w:rFonts w:hint="eastAsia" w:ascii="仿宋_GB2312" w:hAnsi="仿宋_GB2312" w:eastAsia="仿宋_GB2312" w:cs="仿宋_GB2312"/>
          <w:b w:val="0"/>
          <w:bCs w:val="0"/>
          <w:color w:val="auto"/>
          <w:kern w:val="0"/>
          <w:sz w:val="32"/>
          <w:szCs w:val="32"/>
          <w:highlight w:val="none"/>
          <w:shd w:val="clear" w:color="auto" w:fill="FFFFFF"/>
        </w:rPr>
        <w:t>%</w:t>
      </w:r>
      <w:r>
        <w:rPr>
          <w:rFonts w:hint="eastAsia" w:ascii="仿宋_GB2312" w:hAnsi="仿宋_GB2312" w:eastAsia="仿宋_GB2312" w:cs="仿宋_GB2312"/>
          <w:b w:val="0"/>
          <w:bCs w:val="0"/>
          <w:color w:val="auto"/>
          <w:kern w:val="0"/>
          <w:sz w:val="32"/>
          <w:szCs w:val="32"/>
          <w:highlight w:val="none"/>
          <w:shd w:val="clear" w:color="auto" w:fill="FFFFFF"/>
          <w:lang w:eastAsia="zh-CN"/>
        </w:rPr>
        <w:t>。</w:t>
      </w:r>
    </w:p>
    <w:p>
      <w:pPr>
        <w:keepNext w:val="0"/>
        <w:keepLines w:val="0"/>
        <w:pageBreakBefore w:val="0"/>
        <w:widowControl/>
        <w:wordWrap/>
        <w:topLinePunct w:val="0"/>
        <w:bidi w:val="0"/>
        <w:spacing w:line="570" w:lineRule="exact"/>
        <w:ind w:firstLine="640" w:firstLineChars="200"/>
        <w:jc w:val="left"/>
        <w:textAlignment w:val="auto"/>
        <w:rPr>
          <w:rStyle w:val="7"/>
          <w:rFonts w:hint="eastAsia" w:ascii="黑体" w:hAnsi="黑体" w:eastAsia="黑体" w:cs="黑体"/>
          <w:b w:val="0"/>
          <w:bCs w:val="0"/>
          <w:color w:val="auto"/>
          <w:kern w:val="0"/>
          <w:sz w:val="32"/>
          <w:szCs w:val="32"/>
          <w:highlight w:val="none"/>
          <w:shd w:val="clear" w:color="auto" w:fill="FFFFFF"/>
          <w:lang w:eastAsia="zh-CN"/>
        </w:rPr>
      </w:pPr>
      <w:r>
        <w:rPr>
          <w:rStyle w:val="7"/>
          <w:rFonts w:hint="eastAsia" w:ascii="黑体" w:hAnsi="黑体" w:eastAsia="黑体" w:cs="黑体"/>
          <w:b w:val="0"/>
          <w:bCs w:val="0"/>
          <w:color w:val="auto"/>
          <w:kern w:val="0"/>
          <w:sz w:val="32"/>
          <w:szCs w:val="32"/>
          <w:highlight w:val="none"/>
          <w:shd w:val="clear" w:color="auto" w:fill="FFFFFF"/>
        </w:rPr>
        <w:t>六、一般公共预算基本支出预算情况说明</w:t>
      </w:r>
    </w:p>
    <w:p>
      <w:pPr>
        <w:keepNext w:val="0"/>
        <w:keepLines w:val="0"/>
        <w:pageBreakBefore w:val="0"/>
        <w:widowControl/>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罗山县退役军人事务局</w:t>
      </w:r>
      <w:r>
        <w:rPr>
          <w:rFonts w:hint="eastAsia" w:ascii="仿宋_GB2312" w:hAnsi="仿宋_GB2312" w:eastAsia="仿宋_GB2312" w:cs="仿宋_GB2312"/>
          <w:b w:val="0"/>
          <w:bCs w:val="0"/>
          <w:color w:val="auto"/>
          <w:kern w:val="0"/>
          <w:sz w:val="32"/>
          <w:szCs w:val="32"/>
          <w:highlight w:val="none"/>
          <w:shd w:val="clear" w:color="auto" w:fill="FFFFFF"/>
        </w:rPr>
        <w:t>2021年一般公共预算基本支出</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1474368</w:t>
      </w:r>
      <w:r>
        <w:rPr>
          <w:rFonts w:hint="eastAsia" w:ascii="仿宋_GB2312" w:hAnsi="仿宋_GB2312" w:eastAsia="仿宋_GB2312" w:cs="仿宋_GB2312"/>
          <w:b w:val="0"/>
          <w:bCs w:val="0"/>
          <w:color w:val="auto"/>
          <w:kern w:val="0"/>
          <w:sz w:val="32"/>
          <w:szCs w:val="32"/>
          <w:highlight w:val="none"/>
          <w:shd w:val="clear" w:color="auto" w:fill="FFFFFF"/>
        </w:rPr>
        <w:t>元，其中：人员经费</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1418144</w:t>
      </w:r>
      <w:r>
        <w:rPr>
          <w:rFonts w:hint="eastAsia" w:ascii="仿宋_GB2312" w:hAnsi="仿宋_GB2312" w:eastAsia="仿宋_GB2312" w:cs="仿宋_GB2312"/>
          <w:b w:val="0"/>
          <w:bCs w:val="0"/>
          <w:color w:val="auto"/>
          <w:kern w:val="0"/>
          <w:sz w:val="32"/>
          <w:szCs w:val="32"/>
          <w:highlight w:val="none"/>
          <w:shd w:val="clear" w:color="auto" w:fill="FFFFFF"/>
        </w:rPr>
        <w:t>元，主要包括：基本工资、津贴补贴、奖金、社会保障缴费、绩效工资、离休费、退休费、遗属补助、住房公积金等；公用经费</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56244</w:t>
      </w:r>
      <w:r>
        <w:rPr>
          <w:rFonts w:hint="eastAsia" w:ascii="仿宋_GB2312" w:hAnsi="仿宋_GB2312" w:eastAsia="仿宋_GB2312" w:cs="仿宋_GB2312"/>
          <w:b w:val="0"/>
          <w:bCs w:val="0"/>
          <w:color w:val="auto"/>
          <w:kern w:val="0"/>
          <w:sz w:val="32"/>
          <w:szCs w:val="32"/>
          <w:highlight w:val="none"/>
          <w:shd w:val="clear" w:color="auto" w:fill="FFFFFF"/>
        </w:rPr>
        <w:t>元，主要包括：办公费、印刷费、咨询费、手续费、水费、电费、邮电费、取暖费、物业管理费、差旅费、维修（护）费、租赁费、会议费、培训费、公务接待费、专用材料费、劳务费、工会经费、福利费、公务用车运行维护费、其他交通费用等。</w:t>
      </w:r>
    </w:p>
    <w:p>
      <w:pPr>
        <w:keepNext w:val="0"/>
        <w:keepLines w:val="0"/>
        <w:pageBreakBefore w:val="0"/>
        <w:widowControl/>
        <w:wordWrap/>
        <w:topLinePunct w:val="0"/>
        <w:bidi w:val="0"/>
        <w:spacing w:line="570" w:lineRule="exact"/>
        <w:ind w:firstLine="640" w:firstLineChars="200"/>
        <w:jc w:val="left"/>
        <w:textAlignment w:val="auto"/>
        <w:rPr>
          <w:rStyle w:val="7"/>
          <w:rFonts w:hint="eastAsia" w:ascii="黑体" w:hAnsi="黑体" w:eastAsia="黑体" w:cs="黑体"/>
          <w:b w:val="0"/>
          <w:bCs w:val="0"/>
          <w:color w:val="auto"/>
          <w:kern w:val="0"/>
          <w:sz w:val="32"/>
          <w:szCs w:val="32"/>
          <w:highlight w:val="none"/>
          <w:shd w:val="clear" w:color="auto" w:fill="FFFFFF"/>
          <w:lang w:eastAsia="zh-CN"/>
        </w:rPr>
      </w:pPr>
      <w:r>
        <w:rPr>
          <w:rStyle w:val="7"/>
          <w:rFonts w:hint="eastAsia" w:ascii="黑体" w:hAnsi="黑体" w:eastAsia="黑体" w:cs="黑体"/>
          <w:b w:val="0"/>
          <w:bCs w:val="0"/>
          <w:color w:val="auto"/>
          <w:kern w:val="0"/>
          <w:sz w:val="32"/>
          <w:szCs w:val="32"/>
          <w:highlight w:val="none"/>
          <w:shd w:val="clear" w:color="auto" w:fill="FFFFFF"/>
          <w:lang w:val="en-US" w:eastAsia="zh-CN"/>
        </w:rPr>
        <w:t>七</w:t>
      </w:r>
      <w:r>
        <w:rPr>
          <w:rStyle w:val="7"/>
          <w:rFonts w:hint="eastAsia" w:ascii="黑体" w:hAnsi="黑体" w:eastAsia="黑体" w:cs="黑体"/>
          <w:b w:val="0"/>
          <w:bCs w:val="0"/>
          <w:color w:val="auto"/>
          <w:kern w:val="0"/>
          <w:sz w:val="32"/>
          <w:szCs w:val="32"/>
          <w:highlight w:val="none"/>
          <w:shd w:val="clear" w:color="auto" w:fill="FFFFFF"/>
        </w:rPr>
        <w:t>、 “三公”经费支出预算情况说明</w:t>
      </w:r>
    </w:p>
    <w:p>
      <w:pPr>
        <w:keepNext w:val="0"/>
        <w:keepLines w:val="0"/>
        <w:pageBreakBefore w:val="0"/>
        <w:widowControl/>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eastAsia="zh-CN"/>
        </w:rPr>
      </w:pPr>
      <w:r>
        <w:rPr>
          <w:rFonts w:hint="eastAsia" w:ascii="仿宋_GB2312" w:hAnsi="仿宋_GB2312" w:eastAsia="仿宋_GB2312" w:cs="仿宋_GB2312"/>
          <w:b w:val="0"/>
          <w:bCs w:val="0"/>
          <w:color w:val="auto"/>
          <w:kern w:val="0"/>
          <w:sz w:val="32"/>
          <w:szCs w:val="32"/>
          <w:highlight w:val="none"/>
          <w:shd w:val="clear" w:color="auto" w:fill="FFFFFF"/>
        </w:rPr>
        <w:t>我局2021年“三公”经费预算为</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150000</w:t>
      </w:r>
      <w:r>
        <w:rPr>
          <w:rFonts w:hint="eastAsia" w:ascii="仿宋_GB2312" w:hAnsi="仿宋_GB2312" w:eastAsia="仿宋_GB2312" w:cs="仿宋_GB2312"/>
          <w:b w:val="0"/>
          <w:bCs w:val="0"/>
          <w:color w:val="auto"/>
          <w:kern w:val="0"/>
          <w:sz w:val="32"/>
          <w:szCs w:val="32"/>
          <w:highlight w:val="none"/>
          <w:shd w:val="clear" w:color="auto" w:fill="FFFFFF"/>
        </w:rPr>
        <w:t>元。2021年“三公”经费支出预算数</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与2020年相比无变化</w:t>
      </w:r>
      <w:r>
        <w:rPr>
          <w:rFonts w:hint="eastAsia" w:ascii="仿宋_GB2312" w:hAnsi="仿宋_GB2312" w:eastAsia="仿宋_GB2312" w:cs="仿宋_GB2312"/>
          <w:b w:val="0"/>
          <w:bCs w:val="0"/>
          <w:color w:val="auto"/>
          <w:kern w:val="0"/>
          <w:sz w:val="32"/>
          <w:szCs w:val="32"/>
          <w:highlight w:val="none"/>
          <w:shd w:val="clear" w:color="auto" w:fill="FFFFFF"/>
        </w:rPr>
        <w:t>。</w:t>
      </w:r>
    </w:p>
    <w:p>
      <w:pPr>
        <w:keepNext w:val="0"/>
        <w:keepLines w:val="0"/>
        <w:pageBreakBefore w:val="0"/>
        <w:widowControl/>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eastAsia="zh-CN"/>
        </w:rPr>
      </w:pPr>
      <w:r>
        <w:rPr>
          <w:rFonts w:hint="eastAsia" w:ascii="仿宋_GB2312" w:hAnsi="仿宋_GB2312" w:eastAsia="仿宋_GB2312" w:cs="仿宋_GB2312"/>
          <w:b w:val="0"/>
          <w:bCs w:val="0"/>
          <w:color w:val="auto"/>
          <w:kern w:val="0"/>
          <w:sz w:val="32"/>
          <w:szCs w:val="32"/>
          <w:highlight w:val="none"/>
          <w:shd w:val="clear" w:color="auto" w:fill="FFFFFF"/>
        </w:rPr>
        <w:t>具体支出情况如下：</w:t>
      </w:r>
    </w:p>
    <w:p>
      <w:pPr>
        <w:keepNext w:val="0"/>
        <w:keepLines w:val="0"/>
        <w:pageBreakBefore w:val="0"/>
        <w:widowControl/>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eastAsia="zh-CN"/>
        </w:rPr>
      </w:pPr>
      <w:r>
        <w:rPr>
          <w:rStyle w:val="7"/>
          <w:rFonts w:hint="eastAsia" w:ascii="仿宋_GB2312" w:hAnsi="仿宋_GB2312" w:eastAsia="仿宋_GB2312" w:cs="仿宋_GB2312"/>
          <w:b w:val="0"/>
          <w:bCs w:val="0"/>
          <w:color w:val="auto"/>
          <w:kern w:val="0"/>
          <w:sz w:val="32"/>
          <w:szCs w:val="32"/>
          <w:highlight w:val="none"/>
          <w:shd w:val="clear" w:color="auto" w:fill="FFFFFF"/>
        </w:rPr>
        <w:t>（一）因公出国（境）费</w:t>
      </w:r>
      <w:r>
        <w:rPr>
          <w:rFonts w:hint="eastAsia" w:ascii="仿宋_GB2312" w:hAnsi="仿宋_GB2312" w:eastAsia="仿宋_GB2312" w:cs="仿宋_GB2312"/>
          <w:b w:val="0"/>
          <w:bCs w:val="0"/>
          <w:color w:val="auto"/>
          <w:kern w:val="0"/>
          <w:sz w:val="32"/>
          <w:szCs w:val="32"/>
          <w:highlight w:val="none"/>
          <w:shd w:val="clear" w:color="auto" w:fill="FFFFFF"/>
        </w:rPr>
        <w:t>0元，主要用于单位工作人员公务出国（境）的住宿费、旅费、伙食补助费、杂费、培训费等支出。预算数比 2020年增加0元，与2020年相比无差异。</w:t>
      </w:r>
    </w:p>
    <w:p>
      <w:pPr>
        <w:keepNext w:val="0"/>
        <w:keepLines w:val="0"/>
        <w:pageBreakBefore w:val="0"/>
        <w:widowControl/>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eastAsia="zh-CN"/>
        </w:rPr>
      </w:pPr>
      <w:r>
        <w:rPr>
          <w:rStyle w:val="7"/>
          <w:rFonts w:hint="eastAsia" w:ascii="仿宋_GB2312" w:hAnsi="仿宋_GB2312" w:eastAsia="仿宋_GB2312" w:cs="仿宋_GB2312"/>
          <w:b w:val="0"/>
          <w:bCs w:val="0"/>
          <w:color w:val="auto"/>
          <w:kern w:val="0"/>
          <w:sz w:val="32"/>
          <w:szCs w:val="32"/>
          <w:highlight w:val="none"/>
          <w:shd w:val="clear" w:color="auto" w:fill="FFFFFF"/>
        </w:rPr>
        <w:t>（二）公务用车购置及运行费</w:t>
      </w:r>
      <w:r>
        <w:rPr>
          <w:rStyle w:val="7"/>
          <w:rFonts w:hint="eastAsia" w:ascii="仿宋_GB2312" w:hAnsi="仿宋_GB2312" w:eastAsia="仿宋_GB2312" w:cs="仿宋_GB2312"/>
          <w:b w:val="0"/>
          <w:bCs w:val="0"/>
          <w:color w:val="auto"/>
          <w:kern w:val="0"/>
          <w:sz w:val="32"/>
          <w:szCs w:val="32"/>
          <w:highlight w:val="none"/>
          <w:shd w:val="clear" w:color="auto" w:fill="FFFFFF"/>
          <w:lang w:val="en-US" w:eastAsia="zh-CN"/>
        </w:rPr>
        <w:t>0</w:t>
      </w:r>
      <w:r>
        <w:rPr>
          <w:rFonts w:hint="eastAsia" w:ascii="仿宋_GB2312" w:hAnsi="仿宋_GB2312" w:eastAsia="仿宋_GB2312" w:cs="仿宋_GB2312"/>
          <w:b w:val="0"/>
          <w:bCs w:val="0"/>
          <w:color w:val="auto"/>
          <w:kern w:val="0"/>
          <w:sz w:val="32"/>
          <w:szCs w:val="32"/>
          <w:highlight w:val="none"/>
          <w:shd w:val="clear" w:color="auto" w:fill="FFFFFF"/>
        </w:rPr>
        <w:t>元，其中，公务用车购置费0元；公务用车运行维护费</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0</w:t>
      </w:r>
      <w:r>
        <w:rPr>
          <w:rFonts w:hint="eastAsia" w:ascii="仿宋_GB2312" w:hAnsi="仿宋_GB2312" w:eastAsia="仿宋_GB2312" w:cs="仿宋_GB2312"/>
          <w:b w:val="0"/>
          <w:bCs w:val="0"/>
          <w:color w:val="auto"/>
          <w:kern w:val="0"/>
          <w:sz w:val="32"/>
          <w:szCs w:val="32"/>
          <w:highlight w:val="none"/>
          <w:shd w:val="clear" w:color="auto" w:fill="FFFFFF"/>
        </w:rPr>
        <w:t>元，</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我局2021年无公车，故公务用车费、购置费、维护费为0元</w:t>
      </w:r>
      <w:r>
        <w:rPr>
          <w:rFonts w:hint="eastAsia" w:ascii="仿宋_GB2312" w:hAnsi="仿宋_GB2312" w:eastAsia="仿宋_GB2312" w:cs="仿宋_GB2312"/>
          <w:b w:val="0"/>
          <w:bCs w:val="0"/>
          <w:color w:val="auto"/>
          <w:kern w:val="0"/>
          <w:sz w:val="32"/>
          <w:szCs w:val="32"/>
          <w:highlight w:val="none"/>
          <w:shd w:val="clear" w:color="auto" w:fill="FFFFFF"/>
        </w:rPr>
        <w:t>。</w:t>
      </w:r>
    </w:p>
    <w:p>
      <w:pPr>
        <w:keepNext w:val="0"/>
        <w:keepLines w:val="0"/>
        <w:pageBreakBefore w:val="0"/>
        <w:widowControl/>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eastAsia="zh-CN"/>
        </w:rPr>
      </w:pPr>
    </w:p>
    <w:p>
      <w:pPr>
        <w:keepNext w:val="0"/>
        <w:keepLines w:val="0"/>
        <w:pageBreakBefore w:val="0"/>
        <w:widowControl/>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eastAsia="zh-CN"/>
        </w:rPr>
      </w:pPr>
      <w:r>
        <w:rPr>
          <w:rStyle w:val="7"/>
          <w:rFonts w:hint="eastAsia" w:ascii="仿宋_GB2312" w:hAnsi="仿宋_GB2312" w:eastAsia="仿宋_GB2312" w:cs="仿宋_GB2312"/>
          <w:b w:val="0"/>
          <w:bCs w:val="0"/>
          <w:color w:val="auto"/>
          <w:kern w:val="0"/>
          <w:sz w:val="32"/>
          <w:szCs w:val="32"/>
          <w:highlight w:val="none"/>
          <w:shd w:val="clear" w:color="auto" w:fill="FFFFFF"/>
        </w:rPr>
        <w:t>（三）公务接待费</w:t>
      </w:r>
      <w:r>
        <w:rPr>
          <w:rStyle w:val="7"/>
          <w:rFonts w:hint="eastAsia" w:ascii="仿宋_GB2312" w:hAnsi="仿宋_GB2312" w:eastAsia="仿宋_GB2312" w:cs="仿宋_GB2312"/>
          <w:b w:val="0"/>
          <w:bCs w:val="0"/>
          <w:color w:val="auto"/>
          <w:kern w:val="0"/>
          <w:sz w:val="32"/>
          <w:szCs w:val="32"/>
          <w:highlight w:val="none"/>
          <w:shd w:val="clear" w:color="auto" w:fill="FFFFFF"/>
          <w:lang w:val="en-US" w:eastAsia="zh-CN"/>
        </w:rPr>
        <w:t>1</w:t>
      </w:r>
      <w:r>
        <w:rPr>
          <w:rFonts w:hint="eastAsia" w:ascii="仿宋_GB2312" w:hAnsi="仿宋_GB2312" w:eastAsia="仿宋_GB2312" w:cs="仿宋_GB2312"/>
          <w:b w:val="0"/>
          <w:bCs w:val="0"/>
          <w:color w:val="auto"/>
          <w:kern w:val="0"/>
          <w:sz w:val="32"/>
          <w:szCs w:val="32"/>
          <w:highlight w:val="none"/>
          <w:shd w:val="clear" w:color="auto" w:fill="FFFFFF"/>
        </w:rPr>
        <w:t>5</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0000</w:t>
      </w:r>
      <w:r>
        <w:rPr>
          <w:rFonts w:hint="eastAsia" w:ascii="仿宋_GB2312" w:hAnsi="仿宋_GB2312" w:eastAsia="仿宋_GB2312" w:cs="仿宋_GB2312"/>
          <w:b w:val="0"/>
          <w:bCs w:val="0"/>
          <w:color w:val="auto"/>
          <w:kern w:val="0"/>
          <w:sz w:val="32"/>
          <w:szCs w:val="32"/>
          <w:highlight w:val="none"/>
          <w:shd w:val="clear" w:color="auto" w:fill="FFFFFF"/>
        </w:rPr>
        <w:t>元，主要用于按规定开支的各类公务接待支出。预算数</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与</w:t>
      </w:r>
      <w:r>
        <w:rPr>
          <w:rFonts w:hint="eastAsia" w:ascii="仿宋_GB2312" w:hAnsi="仿宋_GB2312" w:eastAsia="仿宋_GB2312" w:cs="仿宋_GB2312"/>
          <w:b w:val="0"/>
          <w:bCs w:val="0"/>
          <w:color w:val="auto"/>
          <w:kern w:val="0"/>
          <w:sz w:val="32"/>
          <w:szCs w:val="32"/>
          <w:highlight w:val="none"/>
          <w:shd w:val="clear" w:color="auto" w:fill="FFFFFF"/>
        </w:rPr>
        <w:t>2020</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相比，无增减</w:t>
      </w:r>
      <w:r>
        <w:rPr>
          <w:rFonts w:hint="eastAsia" w:ascii="仿宋_GB2312" w:hAnsi="仿宋_GB2312" w:eastAsia="仿宋_GB2312" w:cs="仿宋_GB2312"/>
          <w:b w:val="0"/>
          <w:bCs w:val="0"/>
          <w:color w:val="auto"/>
          <w:kern w:val="0"/>
          <w:sz w:val="32"/>
          <w:szCs w:val="32"/>
          <w:highlight w:val="none"/>
          <w:shd w:val="clear" w:color="auto" w:fill="FFFFFF"/>
        </w:rPr>
        <w:t>。</w:t>
      </w:r>
    </w:p>
    <w:p>
      <w:pPr>
        <w:keepNext w:val="0"/>
        <w:keepLines w:val="0"/>
        <w:pageBreakBefore w:val="0"/>
        <w:widowControl/>
        <w:wordWrap/>
        <w:topLinePunct w:val="0"/>
        <w:bidi w:val="0"/>
        <w:spacing w:line="570" w:lineRule="exact"/>
        <w:ind w:firstLine="640" w:firstLineChars="200"/>
        <w:jc w:val="left"/>
        <w:textAlignment w:val="auto"/>
        <w:rPr>
          <w:rStyle w:val="7"/>
          <w:rFonts w:hint="eastAsia" w:ascii="黑体" w:hAnsi="黑体" w:eastAsia="黑体" w:cs="黑体"/>
          <w:b w:val="0"/>
          <w:bCs w:val="0"/>
          <w:color w:val="auto"/>
          <w:kern w:val="0"/>
          <w:sz w:val="32"/>
          <w:szCs w:val="32"/>
          <w:highlight w:val="none"/>
          <w:shd w:val="clear" w:color="auto" w:fill="FFFFFF"/>
          <w:lang w:eastAsia="zh-CN"/>
        </w:rPr>
      </w:pPr>
      <w:r>
        <w:rPr>
          <w:rStyle w:val="7"/>
          <w:rFonts w:hint="eastAsia" w:ascii="黑体" w:hAnsi="黑体" w:eastAsia="黑体" w:cs="黑体"/>
          <w:b w:val="0"/>
          <w:bCs w:val="0"/>
          <w:color w:val="auto"/>
          <w:kern w:val="0"/>
          <w:sz w:val="32"/>
          <w:szCs w:val="32"/>
          <w:highlight w:val="none"/>
          <w:shd w:val="clear" w:color="auto" w:fill="FFFFFF"/>
          <w:lang w:val="en-US" w:eastAsia="zh-CN"/>
        </w:rPr>
        <w:t>八</w:t>
      </w:r>
      <w:r>
        <w:rPr>
          <w:rStyle w:val="7"/>
          <w:rFonts w:hint="eastAsia" w:ascii="黑体" w:hAnsi="黑体" w:eastAsia="黑体" w:cs="黑体"/>
          <w:b w:val="0"/>
          <w:bCs w:val="0"/>
          <w:color w:val="auto"/>
          <w:kern w:val="0"/>
          <w:sz w:val="32"/>
          <w:szCs w:val="32"/>
          <w:highlight w:val="none"/>
          <w:shd w:val="clear" w:color="auto" w:fill="FFFFFF"/>
        </w:rPr>
        <w:t>、政府性基金预算支出预算情况说明</w:t>
      </w:r>
    </w:p>
    <w:p>
      <w:pPr>
        <w:keepNext w:val="0"/>
        <w:keepLines w:val="0"/>
        <w:pageBreakBefore w:val="0"/>
        <w:widowControl/>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rPr>
      </w:pPr>
      <w:r>
        <w:rPr>
          <w:rFonts w:hint="eastAsia" w:ascii="仿宋_GB2312" w:hAnsi="仿宋_GB2312" w:eastAsia="仿宋_GB2312" w:cs="仿宋_GB2312"/>
          <w:b w:val="0"/>
          <w:bCs w:val="0"/>
          <w:color w:val="auto"/>
          <w:kern w:val="0"/>
          <w:sz w:val="32"/>
          <w:szCs w:val="32"/>
          <w:highlight w:val="none"/>
          <w:shd w:val="clear" w:color="auto" w:fill="FFFFFF"/>
        </w:rPr>
        <w:t>我局2021年无使用政府性基金预算拨款安排的支出。</w:t>
      </w:r>
    </w:p>
    <w:p>
      <w:pPr>
        <w:keepNext w:val="0"/>
        <w:keepLines w:val="0"/>
        <w:pageBreakBefore w:val="0"/>
        <w:widowControl/>
        <w:wordWrap/>
        <w:topLinePunct w:val="0"/>
        <w:bidi w:val="0"/>
        <w:spacing w:line="570" w:lineRule="exact"/>
        <w:ind w:firstLine="640" w:firstLineChars="200"/>
        <w:jc w:val="left"/>
        <w:textAlignment w:val="auto"/>
        <w:rPr>
          <w:rStyle w:val="7"/>
          <w:rFonts w:hint="eastAsia" w:ascii="黑体" w:hAnsi="黑体" w:eastAsia="黑体" w:cs="黑体"/>
          <w:b w:val="0"/>
          <w:bCs w:val="0"/>
          <w:color w:val="auto"/>
          <w:kern w:val="0"/>
          <w:sz w:val="32"/>
          <w:szCs w:val="32"/>
          <w:highlight w:val="none"/>
          <w:shd w:val="clear" w:color="auto" w:fill="FFFFFF"/>
          <w:lang w:eastAsia="zh-CN"/>
        </w:rPr>
      </w:pPr>
      <w:r>
        <w:rPr>
          <w:rStyle w:val="7"/>
          <w:rFonts w:hint="eastAsia" w:ascii="黑体" w:hAnsi="黑体" w:eastAsia="黑体" w:cs="黑体"/>
          <w:b w:val="0"/>
          <w:bCs w:val="0"/>
          <w:color w:val="auto"/>
          <w:kern w:val="0"/>
          <w:sz w:val="32"/>
          <w:szCs w:val="32"/>
          <w:highlight w:val="none"/>
          <w:shd w:val="clear" w:color="auto" w:fill="FFFFFF"/>
          <w:lang w:val="en-US" w:eastAsia="zh-CN"/>
        </w:rPr>
        <w:t>九、</w:t>
      </w:r>
      <w:r>
        <w:rPr>
          <w:rStyle w:val="7"/>
          <w:rFonts w:hint="eastAsia" w:ascii="黑体" w:hAnsi="黑体" w:eastAsia="黑体" w:cs="黑体"/>
          <w:b w:val="0"/>
          <w:bCs w:val="0"/>
          <w:color w:val="auto"/>
          <w:kern w:val="0"/>
          <w:sz w:val="32"/>
          <w:szCs w:val="32"/>
          <w:highlight w:val="none"/>
          <w:shd w:val="clear" w:color="auto" w:fill="FFFFFF"/>
        </w:rPr>
        <w:t>国有资产占用情况。</w:t>
      </w:r>
    </w:p>
    <w:p>
      <w:pPr>
        <w:keepNext w:val="0"/>
        <w:keepLines w:val="0"/>
        <w:pageBreakBefore w:val="0"/>
        <w:widowControl/>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rPr>
      </w:pPr>
      <w:r>
        <w:rPr>
          <w:rFonts w:hint="eastAsia" w:ascii="仿宋_GB2312" w:hAnsi="仿宋_GB2312" w:eastAsia="仿宋_GB2312" w:cs="仿宋_GB2312"/>
          <w:b w:val="0"/>
          <w:bCs w:val="0"/>
          <w:color w:val="auto"/>
          <w:kern w:val="0"/>
          <w:sz w:val="32"/>
          <w:szCs w:val="32"/>
          <w:highlight w:val="none"/>
          <w:shd w:val="clear" w:color="auto" w:fill="FFFFFF"/>
        </w:rPr>
        <w:t>20</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20</w:t>
      </w:r>
      <w:r>
        <w:rPr>
          <w:rFonts w:hint="eastAsia" w:ascii="仿宋_GB2312" w:hAnsi="仿宋_GB2312" w:eastAsia="仿宋_GB2312" w:cs="仿宋_GB2312"/>
          <w:b w:val="0"/>
          <w:bCs w:val="0"/>
          <w:color w:val="auto"/>
          <w:kern w:val="0"/>
          <w:sz w:val="32"/>
          <w:szCs w:val="32"/>
          <w:highlight w:val="none"/>
          <w:shd w:val="clear" w:color="auto" w:fill="FFFFFF"/>
        </w:rPr>
        <w:t>年期末，</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我局</w:t>
      </w:r>
      <w:r>
        <w:rPr>
          <w:rFonts w:hint="eastAsia" w:ascii="仿宋_GB2312" w:hAnsi="仿宋_GB2312" w:eastAsia="仿宋_GB2312" w:cs="仿宋_GB2312"/>
          <w:b w:val="0"/>
          <w:bCs w:val="0"/>
          <w:color w:val="auto"/>
          <w:kern w:val="0"/>
          <w:sz w:val="32"/>
          <w:szCs w:val="32"/>
          <w:highlight w:val="none"/>
          <w:shd w:val="clear" w:color="auto" w:fill="FFFFFF"/>
        </w:rPr>
        <w:t>共有车辆</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0</w:t>
      </w:r>
      <w:r>
        <w:rPr>
          <w:rFonts w:hint="eastAsia" w:ascii="仿宋_GB2312" w:hAnsi="仿宋_GB2312" w:eastAsia="仿宋_GB2312" w:cs="仿宋_GB2312"/>
          <w:b w:val="0"/>
          <w:bCs w:val="0"/>
          <w:color w:val="auto"/>
          <w:kern w:val="0"/>
          <w:sz w:val="32"/>
          <w:szCs w:val="32"/>
          <w:highlight w:val="none"/>
          <w:shd w:val="clear" w:color="auto" w:fill="FFFFFF"/>
        </w:rPr>
        <w:t>辆，其中：一般公务用车</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0</w:t>
      </w:r>
      <w:r>
        <w:rPr>
          <w:rFonts w:hint="eastAsia" w:ascii="仿宋_GB2312" w:hAnsi="仿宋_GB2312" w:eastAsia="仿宋_GB2312" w:cs="仿宋_GB2312"/>
          <w:b w:val="0"/>
          <w:bCs w:val="0"/>
          <w:color w:val="auto"/>
          <w:kern w:val="0"/>
          <w:sz w:val="32"/>
          <w:szCs w:val="32"/>
          <w:highlight w:val="none"/>
          <w:shd w:val="clear" w:color="auto" w:fill="FFFFFF"/>
        </w:rPr>
        <w:t>辆、一般执法执勤用车</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0</w:t>
      </w:r>
      <w:r>
        <w:rPr>
          <w:rFonts w:hint="eastAsia" w:ascii="仿宋_GB2312" w:hAnsi="仿宋_GB2312" w:eastAsia="仿宋_GB2312" w:cs="仿宋_GB2312"/>
          <w:b w:val="0"/>
          <w:bCs w:val="0"/>
          <w:color w:val="auto"/>
          <w:kern w:val="0"/>
          <w:sz w:val="32"/>
          <w:szCs w:val="32"/>
          <w:highlight w:val="none"/>
          <w:shd w:val="clear" w:color="auto" w:fill="FFFFFF"/>
        </w:rPr>
        <w:t>辆、其他用车</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0</w:t>
      </w:r>
      <w:r>
        <w:rPr>
          <w:rFonts w:hint="eastAsia" w:ascii="仿宋_GB2312" w:hAnsi="仿宋_GB2312" w:eastAsia="仿宋_GB2312" w:cs="仿宋_GB2312"/>
          <w:b w:val="0"/>
          <w:bCs w:val="0"/>
          <w:color w:val="auto"/>
          <w:kern w:val="0"/>
          <w:sz w:val="32"/>
          <w:szCs w:val="32"/>
          <w:highlight w:val="none"/>
          <w:shd w:val="clear" w:color="auto" w:fill="FFFFFF"/>
        </w:rPr>
        <w:t>辆，单价50万元以上通用设备</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0</w:t>
      </w:r>
      <w:r>
        <w:rPr>
          <w:rFonts w:hint="eastAsia" w:ascii="仿宋_GB2312" w:hAnsi="仿宋_GB2312" w:eastAsia="仿宋_GB2312" w:cs="仿宋_GB2312"/>
          <w:b w:val="0"/>
          <w:bCs w:val="0"/>
          <w:color w:val="auto"/>
          <w:kern w:val="0"/>
          <w:sz w:val="32"/>
          <w:szCs w:val="32"/>
          <w:highlight w:val="none"/>
          <w:shd w:val="clear" w:color="auto" w:fill="FFFFFF"/>
        </w:rPr>
        <w:t>套，单位价值100万元以上专用设备</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0</w:t>
      </w:r>
      <w:r>
        <w:rPr>
          <w:rFonts w:hint="eastAsia" w:ascii="仿宋_GB2312" w:hAnsi="仿宋_GB2312" w:eastAsia="仿宋_GB2312" w:cs="仿宋_GB2312"/>
          <w:b w:val="0"/>
          <w:bCs w:val="0"/>
          <w:color w:val="auto"/>
          <w:kern w:val="0"/>
          <w:sz w:val="32"/>
          <w:szCs w:val="32"/>
          <w:highlight w:val="none"/>
          <w:shd w:val="clear" w:color="auto" w:fill="FFFFFF"/>
        </w:rPr>
        <w:t>套。</w:t>
      </w:r>
    </w:p>
    <w:p>
      <w:pPr>
        <w:keepNext w:val="0"/>
        <w:keepLines w:val="0"/>
        <w:pageBreakBefore w:val="0"/>
        <w:widowControl/>
        <w:wordWrap/>
        <w:topLinePunct w:val="0"/>
        <w:bidi w:val="0"/>
        <w:spacing w:line="570" w:lineRule="exact"/>
        <w:ind w:firstLine="640" w:firstLineChars="200"/>
        <w:jc w:val="left"/>
        <w:textAlignment w:val="auto"/>
        <w:rPr>
          <w:rFonts w:hint="eastAsia" w:ascii="黑体" w:hAnsi="黑体" w:eastAsia="黑体" w:cs="黑体"/>
          <w:b w:val="0"/>
          <w:bCs w:val="0"/>
          <w:color w:val="auto"/>
          <w:kern w:val="0"/>
          <w:sz w:val="32"/>
          <w:szCs w:val="32"/>
          <w:highlight w:val="none"/>
          <w:shd w:val="clear" w:color="auto" w:fill="FFFFFF"/>
        </w:rPr>
      </w:pPr>
      <w:r>
        <w:rPr>
          <w:rFonts w:hint="eastAsia" w:ascii="黑体" w:hAnsi="黑体" w:eastAsia="黑体" w:cs="黑体"/>
          <w:b w:val="0"/>
          <w:bCs w:val="0"/>
          <w:color w:val="auto"/>
          <w:kern w:val="0"/>
          <w:sz w:val="32"/>
          <w:szCs w:val="32"/>
          <w:highlight w:val="none"/>
          <w:shd w:val="clear" w:color="auto" w:fill="FFFFFF"/>
          <w:lang w:val="en-US" w:eastAsia="zh-CN"/>
        </w:rPr>
        <w:t>十</w:t>
      </w:r>
      <w:r>
        <w:rPr>
          <w:rFonts w:hint="eastAsia" w:ascii="黑体" w:hAnsi="黑体" w:eastAsia="黑体" w:cs="黑体"/>
          <w:b w:val="0"/>
          <w:bCs w:val="0"/>
          <w:color w:val="auto"/>
          <w:kern w:val="0"/>
          <w:sz w:val="32"/>
          <w:szCs w:val="32"/>
          <w:highlight w:val="none"/>
          <w:shd w:val="clear" w:color="auto" w:fill="FFFFFF"/>
        </w:rPr>
        <w:t>、其他重要事项情况说明</w:t>
      </w:r>
    </w:p>
    <w:p>
      <w:pPr>
        <w:keepNext w:val="0"/>
        <w:keepLines w:val="0"/>
        <w:pageBreakBefore w:val="0"/>
        <w:widowControl/>
        <w:wordWrap/>
        <w:topLinePunct w:val="0"/>
        <w:bidi w:val="0"/>
        <w:spacing w:line="570" w:lineRule="exact"/>
        <w:ind w:firstLine="640" w:firstLineChars="200"/>
        <w:jc w:val="left"/>
        <w:textAlignment w:val="auto"/>
        <w:rPr>
          <w:rStyle w:val="7"/>
          <w:rFonts w:hint="eastAsia" w:ascii="仿宋_GB2312" w:hAnsi="仿宋_GB2312" w:eastAsia="仿宋_GB2312" w:cs="仿宋_GB2312"/>
          <w:b w:val="0"/>
          <w:bCs w:val="0"/>
          <w:color w:val="auto"/>
          <w:kern w:val="0"/>
          <w:sz w:val="32"/>
          <w:szCs w:val="32"/>
          <w:highlight w:val="none"/>
          <w:shd w:val="clear" w:color="auto" w:fill="FFFFFF"/>
          <w:lang w:eastAsia="zh-CN"/>
        </w:rPr>
      </w:pPr>
      <w:r>
        <w:rPr>
          <w:rStyle w:val="7"/>
          <w:rFonts w:hint="eastAsia" w:ascii="仿宋_GB2312" w:hAnsi="仿宋_GB2312" w:eastAsia="仿宋_GB2312" w:cs="仿宋_GB2312"/>
          <w:b w:val="0"/>
          <w:bCs w:val="0"/>
          <w:color w:val="auto"/>
          <w:kern w:val="0"/>
          <w:sz w:val="32"/>
          <w:szCs w:val="32"/>
          <w:highlight w:val="none"/>
          <w:shd w:val="clear" w:color="auto" w:fill="FFFFFF"/>
        </w:rPr>
        <w:t>（一）机关运行经费支出情况</w:t>
      </w:r>
    </w:p>
    <w:p>
      <w:pPr>
        <w:keepNext w:val="0"/>
        <w:keepLines w:val="0"/>
        <w:pageBreakBefore w:val="0"/>
        <w:widowControl/>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罗山县退役军人事务局</w:t>
      </w:r>
      <w:r>
        <w:rPr>
          <w:rFonts w:hint="eastAsia" w:ascii="仿宋_GB2312" w:hAnsi="仿宋_GB2312" w:eastAsia="仿宋_GB2312" w:cs="仿宋_GB2312"/>
          <w:b w:val="0"/>
          <w:bCs w:val="0"/>
          <w:color w:val="auto"/>
          <w:kern w:val="0"/>
          <w:sz w:val="32"/>
          <w:szCs w:val="32"/>
          <w:highlight w:val="none"/>
          <w:shd w:val="clear" w:color="auto" w:fill="FFFFFF"/>
        </w:rPr>
        <w:t>2021年机关运行经费支出预算</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863588</w:t>
      </w:r>
      <w:r>
        <w:rPr>
          <w:rFonts w:hint="eastAsia" w:ascii="仿宋_GB2312" w:hAnsi="仿宋_GB2312" w:eastAsia="仿宋_GB2312" w:cs="仿宋_GB2312"/>
          <w:b w:val="0"/>
          <w:bCs w:val="0"/>
          <w:color w:val="auto"/>
          <w:kern w:val="0"/>
          <w:sz w:val="32"/>
          <w:szCs w:val="32"/>
          <w:highlight w:val="none"/>
          <w:shd w:val="clear" w:color="auto" w:fill="FFFFFF"/>
        </w:rPr>
        <w:t>元，主要保障机构正常运转及正常履职需要，完成预算年度主要工作任务需要。</w:t>
      </w:r>
    </w:p>
    <w:p>
      <w:pPr>
        <w:keepNext w:val="0"/>
        <w:keepLines w:val="0"/>
        <w:pageBreakBefore w:val="0"/>
        <w:widowControl/>
        <w:wordWrap/>
        <w:topLinePunct w:val="0"/>
        <w:bidi w:val="0"/>
        <w:spacing w:line="570" w:lineRule="exact"/>
        <w:ind w:firstLine="640" w:firstLineChars="200"/>
        <w:jc w:val="left"/>
        <w:textAlignment w:val="auto"/>
        <w:rPr>
          <w:rStyle w:val="7"/>
          <w:rFonts w:hint="eastAsia" w:ascii="仿宋_GB2312" w:hAnsi="仿宋_GB2312" w:eastAsia="仿宋_GB2312" w:cs="仿宋_GB2312"/>
          <w:b w:val="0"/>
          <w:bCs w:val="0"/>
          <w:color w:val="auto"/>
          <w:kern w:val="0"/>
          <w:sz w:val="32"/>
          <w:szCs w:val="32"/>
          <w:highlight w:val="none"/>
          <w:shd w:val="clear" w:color="auto" w:fill="FFFFFF"/>
        </w:rPr>
      </w:pPr>
      <w:r>
        <w:rPr>
          <w:rStyle w:val="7"/>
          <w:rFonts w:hint="eastAsia" w:ascii="仿宋_GB2312" w:hAnsi="仿宋_GB2312" w:eastAsia="仿宋_GB2312" w:cs="仿宋_GB2312"/>
          <w:b w:val="0"/>
          <w:bCs w:val="0"/>
          <w:color w:val="auto"/>
          <w:kern w:val="0"/>
          <w:sz w:val="32"/>
          <w:szCs w:val="32"/>
          <w:highlight w:val="none"/>
          <w:shd w:val="clear" w:color="auto" w:fill="FFFFFF"/>
        </w:rPr>
        <w:t>（二）政府采购支出情况</w:t>
      </w:r>
    </w:p>
    <w:p>
      <w:pPr>
        <w:keepNext w:val="0"/>
        <w:keepLines w:val="0"/>
        <w:pageBreakBefore w:val="0"/>
        <w:widowControl/>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eastAsia="zh-CN"/>
        </w:rPr>
      </w:pPr>
      <w:r>
        <w:rPr>
          <w:rFonts w:hint="eastAsia" w:ascii="仿宋_GB2312" w:hAnsi="仿宋_GB2312" w:eastAsia="仿宋_GB2312" w:cs="仿宋_GB2312"/>
          <w:b w:val="0"/>
          <w:bCs w:val="0"/>
          <w:color w:val="auto"/>
          <w:kern w:val="0"/>
          <w:sz w:val="32"/>
          <w:szCs w:val="32"/>
          <w:highlight w:val="none"/>
          <w:shd w:val="clear" w:color="auto" w:fill="FFFFFF"/>
        </w:rPr>
        <w:t>2021年政府采购预算安排</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30</w:t>
      </w:r>
      <w:r>
        <w:rPr>
          <w:rFonts w:hint="eastAsia" w:ascii="仿宋_GB2312" w:hAnsi="仿宋_GB2312" w:eastAsia="仿宋_GB2312" w:cs="仿宋_GB2312"/>
          <w:b w:val="0"/>
          <w:bCs w:val="0"/>
          <w:color w:val="auto"/>
          <w:kern w:val="0"/>
          <w:sz w:val="32"/>
          <w:szCs w:val="32"/>
          <w:highlight w:val="none"/>
          <w:shd w:val="clear" w:color="auto" w:fill="FFFFFF"/>
        </w:rPr>
        <w:t>万元，其中：政府采购货物预算</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5</w:t>
      </w:r>
      <w:r>
        <w:rPr>
          <w:rFonts w:hint="eastAsia" w:ascii="仿宋_GB2312" w:hAnsi="仿宋_GB2312" w:eastAsia="仿宋_GB2312" w:cs="仿宋_GB2312"/>
          <w:b w:val="0"/>
          <w:bCs w:val="0"/>
          <w:color w:val="auto"/>
          <w:kern w:val="0"/>
          <w:sz w:val="32"/>
          <w:szCs w:val="32"/>
          <w:highlight w:val="none"/>
          <w:shd w:val="clear" w:color="auto" w:fill="FFFFFF"/>
        </w:rPr>
        <w:t>万元、政府采购工程预算</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0</w:t>
      </w:r>
      <w:r>
        <w:rPr>
          <w:rFonts w:hint="eastAsia" w:ascii="仿宋_GB2312" w:hAnsi="仿宋_GB2312" w:eastAsia="仿宋_GB2312" w:cs="仿宋_GB2312"/>
          <w:b w:val="0"/>
          <w:bCs w:val="0"/>
          <w:color w:val="auto"/>
          <w:kern w:val="0"/>
          <w:sz w:val="32"/>
          <w:szCs w:val="32"/>
          <w:highlight w:val="none"/>
          <w:shd w:val="clear" w:color="auto" w:fill="FFFFFF"/>
        </w:rPr>
        <w:t>万元、政府采购服务预算</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25</w:t>
      </w:r>
      <w:r>
        <w:rPr>
          <w:rFonts w:hint="eastAsia" w:ascii="仿宋_GB2312" w:hAnsi="仿宋_GB2312" w:eastAsia="仿宋_GB2312" w:cs="仿宋_GB2312"/>
          <w:b w:val="0"/>
          <w:bCs w:val="0"/>
          <w:color w:val="auto"/>
          <w:kern w:val="0"/>
          <w:sz w:val="32"/>
          <w:szCs w:val="32"/>
          <w:highlight w:val="none"/>
          <w:shd w:val="clear" w:color="auto" w:fill="FFFFFF"/>
        </w:rPr>
        <w:t>万元。</w:t>
      </w:r>
    </w:p>
    <w:p>
      <w:pPr>
        <w:keepNext w:val="0"/>
        <w:keepLines w:val="0"/>
        <w:pageBreakBefore w:val="0"/>
        <w:widowControl/>
        <w:wordWrap/>
        <w:topLinePunct w:val="0"/>
        <w:bidi w:val="0"/>
        <w:spacing w:line="570" w:lineRule="exact"/>
        <w:ind w:firstLine="640" w:firstLineChars="200"/>
        <w:jc w:val="left"/>
        <w:textAlignment w:val="auto"/>
        <w:rPr>
          <w:rStyle w:val="7"/>
          <w:rFonts w:hint="eastAsia" w:ascii="仿宋_GB2312" w:hAnsi="仿宋_GB2312" w:eastAsia="仿宋_GB2312" w:cs="仿宋_GB2312"/>
          <w:b w:val="0"/>
          <w:bCs w:val="0"/>
          <w:color w:val="auto"/>
          <w:kern w:val="0"/>
          <w:sz w:val="32"/>
          <w:szCs w:val="32"/>
          <w:highlight w:val="none"/>
          <w:shd w:val="clear" w:color="auto" w:fill="FFFFFF"/>
          <w:lang w:eastAsia="zh-CN"/>
        </w:rPr>
      </w:pPr>
      <w:r>
        <w:rPr>
          <w:rStyle w:val="7"/>
          <w:rFonts w:hint="eastAsia" w:ascii="仿宋_GB2312" w:hAnsi="仿宋_GB2312" w:eastAsia="仿宋_GB2312" w:cs="仿宋_GB2312"/>
          <w:b w:val="0"/>
          <w:bCs w:val="0"/>
          <w:color w:val="auto"/>
          <w:kern w:val="0"/>
          <w:sz w:val="32"/>
          <w:szCs w:val="32"/>
          <w:highlight w:val="none"/>
          <w:shd w:val="clear" w:color="auto" w:fill="FFFFFF"/>
        </w:rPr>
        <w:t>（三）绩效目标设置情况</w:t>
      </w:r>
    </w:p>
    <w:p>
      <w:pPr>
        <w:keepNext w:val="0"/>
        <w:keepLines w:val="0"/>
        <w:pageBreakBefore w:val="0"/>
        <w:widowControl/>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rPr>
        <w:t>我局2021年</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没有开展项目预算绩效评价</w:t>
      </w:r>
    </w:p>
    <w:p>
      <w:pPr>
        <w:keepNext w:val="0"/>
        <w:keepLines w:val="0"/>
        <w:pageBreakBefore w:val="0"/>
        <w:widowControl/>
        <w:shd w:val="clear" w:color="auto" w:fill="FFFFFF"/>
        <w:wordWrap/>
        <w:topLinePunct w:val="0"/>
        <w:bidi w:val="0"/>
        <w:spacing w:line="570" w:lineRule="exact"/>
        <w:ind w:firstLine="640" w:firstLineChars="200"/>
        <w:jc w:val="left"/>
        <w:textAlignment w:val="auto"/>
        <w:rPr>
          <w:rStyle w:val="7"/>
          <w:rFonts w:hint="eastAsia" w:ascii="仿宋_GB2312" w:hAnsi="仿宋_GB2312" w:eastAsia="仿宋_GB2312" w:cs="仿宋_GB2312"/>
          <w:b w:val="0"/>
          <w:bCs w:val="0"/>
          <w:color w:val="auto"/>
          <w:kern w:val="0"/>
          <w:sz w:val="32"/>
          <w:szCs w:val="32"/>
          <w:highlight w:val="none"/>
          <w:shd w:val="clear" w:color="auto" w:fill="FFFFFF"/>
          <w:lang w:eastAsia="zh-CN"/>
        </w:rPr>
      </w:pPr>
    </w:p>
    <w:p>
      <w:pPr>
        <w:keepNext w:val="0"/>
        <w:keepLines w:val="0"/>
        <w:pageBreakBefore w:val="0"/>
        <w:widowControl/>
        <w:shd w:val="clear" w:color="auto" w:fill="FFFFFF"/>
        <w:wordWrap/>
        <w:topLinePunct w:val="0"/>
        <w:bidi w:val="0"/>
        <w:spacing w:line="570" w:lineRule="exact"/>
        <w:jc w:val="center"/>
        <w:textAlignment w:val="auto"/>
        <w:rPr>
          <w:rStyle w:val="7"/>
          <w:rFonts w:hint="eastAsia" w:ascii="黑体" w:hAnsi="黑体" w:eastAsia="黑体" w:cs="黑体"/>
          <w:b w:val="0"/>
          <w:bCs w:val="0"/>
          <w:color w:val="auto"/>
          <w:kern w:val="0"/>
          <w:sz w:val="32"/>
          <w:szCs w:val="32"/>
          <w:highlight w:val="none"/>
          <w:shd w:val="clear" w:color="auto" w:fill="FFFFFF"/>
          <w:lang w:eastAsia="zh-CN"/>
        </w:rPr>
      </w:pPr>
      <w:r>
        <w:rPr>
          <w:rStyle w:val="7"/>
          <w:rFonts w:hint="eastAsia" w:ascii="黑体" w:hAnsi="黑体" w:eastAsia="黑体" w:cs="黑体"/>
          <w:b w:val="0"/>
          <w:bCs w:val="0"/>
          <w:color w:val="auto"/>
          <w:kern w:val="0"/>
          <w:sz w:val="32"/>
          <w:szCs w:val="32"/>
          <w:highlight w:val="none"/>
          <w:shd w:val="clear" w:color="auto" w:fill="FFFFFF"/>
        </w:rPr>
        <w:t>第三部分</w:t>
      </w:r>
    </w:p>
    <w:p>
      <w:pPr>
        <w:keepNext w:val="0"/>
        <w:keepLines w:val="0"/>
        <w:pageBreakBefore w:val="0"/>
        <w:widowControl/>
        <w:shd w:val="clear" w:color="auto" w:fill="FFFFFF"/>
        <w:wordWrap/>
        <w:topLinePunct w:val="0"/>
        <w:bidi w:val="0"/>
        <w:spacing w:line="570" w:lineRule="exact"/>
        <w:jc w:val="center"/>
        <w:textAlignment w:val="auto"/>
        <w:rPr>
          <w:rStyle w:val="7"/>
          <w:rFonts w:hint="eastAsia" w:ascii="黑体" w:hAnsi="黑体" w:eastAsia="黑体" w:cs="黑体"/>
          <w:b w:val="0"/>
          <w:bCs w:val="0"/>
          <w:color w:val="auto"/>
          <w:kern w:val="0"/>
          <w:sz w:val="32"/>
          <w:szCs w:val="32"/>
          <w:highlight w:val="none"/>
          <w:shd w:val="clear" w:color="auto" w:fill="FFFFFF"/>
        </w:rPr>
      </w:pPr>
      <w:r>
        <w:rPr>
          <w:rStyle w:val="7"/>
          <w:rFonts w:hint="eastAsia" w:ascii="黑体" w:hAnsi="黑体" w:eastAsia="黑体" w:cs="黑体"/>
          <w:b w:val="0"/>
          <w:bCs w:val="0"/>
          <w:color w:val="auto"/>
          <w:kern w:val="0"/>
          <w:sz w:val="32"/>
          <w:szCs w:val="32"/>
          <w:highlight w:val="none"/>
          <w:shd w:val="clear" w:color="auto" w:fill="FFFFFF"/>
        </w:rPr>
        <w:t>名词解释</w:t>
      </w:r>
    </w:p>
    <w:p>
      <w:pPr>
        <w:keepNext w:val="0"/>
        <w:keepLines w:val="0"/>
        <w:pageBreakBefore w:val="0"/>
        <w:widowControl/>
        <w:shd w:val="clear" w:color="auto" w:fill="FFFFFF"/>
        <w:wordWrap/>
        <w:topLinePunct w:val="0"/>
        <w:bidi w:val="0"/>
        <w:spacing w:line="570" w:lineRule="exact"/>
        <w:ind w:firstLine="640" w:firstLineChars="200"/>
        <w:jc w:val="center"/>
        <w:textAlignment w:val="auto"/>
        <w:rPr>
          <w:rStyle w:val="7"/>
          <w:rFonts w:hint="eastAsia" w:ascii="黑体" w:hAnsi="黑体" w:eastAsia="黑体" w:cs="黑体"/>
          <w:b w:val="0"/>
          <w:bCs w:val="0"/>
          <w:color w:val="auto"/>
          <w:kern w:val="0"/>
          <w:sz w:val="32"/>
          <w:szCs w:val="32"/>
          <w:highlight w:val="none"/>
          <w:shd w:val="clear" w:color="auto" w:fill="FFFFFF"/>
        </w:rPr>
      </w:pPr>
    </w:p>
    <w:p>
      <w:pPr>
        <w:pStyle w:val="2"/>
        <w:keepNext w:val="0"/>
        <w:keepLines w:val="0"/>
        <w:pageBreakBefore w:val="0"/>
        <w:kinsoku w:val="0"/>
        <w:wordWrap/>
        <w:overflowPunct w:val="0"/>
        <w:topLinePunct w:val="0"/>
        <w:bidi w:val="0"/>
        <w:snapToGrid w:val="0"/>
        <w:spacing w:line="570" w:lineRule="exact"/>
        <w:ind w:left="0" w:leftChars="0" w:firstLine="643"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rPr>
        <w:t>一、</w:t>
      </w:r>
      <w:r>
        <w:rPr>
          <w:rFonts w:hint="eastAsia" w:ascii="楷体_GB2312" w:hAnsi="楷体_GB2312" w:eastAsia="楷体_GB2312" w:cs="楷体_GB2312"/>
          <w:b/>
          <w:bCs/>
          <w:color w:val="auto"/>
          <w:kern w:val="0"/>
          <w:sz w:val="32"/>
          <w:szCs w:val="32"/>
          <w:highlight w:val="none"/>
          <w:shd w:val="clear" w:color="auto" w:fill="FFFFFF"/>
        </w:rPr>
        <w:t>财政拨款收入：</w:t>
      </w:r>
      <w:r>
        <w:rPr>
          <w:rFonts w:hint="eastAsia" w:ascii="仿宋_GB2312" w:hAnsi="仿宋_GB2312" w:eastAsia="仿宋_GB2312" w:cs="仿宋_GB2312"/>
          <w:b w:val="0"/>
          <w:bCs w:val="0"/>
          <w:color w:val="auto"/>
          <w:kern w:val="0"/>
          <w:sz w:val="32"/>
          <w:szCs w:val="32"/>
          <w:highlight w:val="none"/>
          <w:shd w:val="clear" w:color="auto" w:fill="FFFFFF"/>
        </w:rPr>
        <w:t>是指省级财政当年拨付的资金。</w:t>
      </w:r>
    </w:p>
    <w:p>
      <w:pPr>
        <w:pStyle w:val="2"/>
        <w:keepNext w:val="0"/>
        <w:keepLines w:val="0"/>
        <w:pageBreakBefore w:val="0"/>
        <w:kinsoku w:val="0"/>
        <w:wordWrap/>
        <w:overflowPunct w:val="0"/>
        <w:topLinePunct w:val="0"/>
        <w:bidi w:val="0"/>
        <w:snapToGrid w:val="0"/>
        <w:spacing w:line="570" w:lineRule="exact"/>
        <w:ind w:left="0" w:leftChars="0" w:firstLine="643"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rPr>
        <w:t>二、事业收入：</w:t>
      </w:r>
      <w:r>
        <w:rPr>
          <w:rFonts w:hint="eastAsia" w:ascii="仿宋_GB2312" w:hAnsi="仿宋_GB2312" w:eastAsia="仿宋_GB2312" w:cs="仿宋_GB2312"/>
          <w:b w:val="0"/>
          <w:bCs w:val="0"/>
          <w:color w:val="auto"/>
          <w:kern w:val="0"/>
          <w:sz w:val="32"/>
          <w:szCs w:val="32"/>
          <w:highlight w:val="none"/>
          <w:shd w:val="clear" w:color="auto" w:fill="FFFFFF"/>
        </w:rPr>
        <w:t>是指事业单位开展专业活动及辅助活动所取 得的收入。</w:t>
      </w:r>
    </w:p>
    <w:p>
      <w:pPr>
        <w:pStyle w:val="2"/>
        <w:keepNext w:val="0"/>
        <w:keepLines w:val="0"/>
        <w:pageBreakBefore w:val="0"/>
        <w:kinsoku w:val="0"/>
        <w:wordWrap/>
        <w:overflowPunct w:val="0"/>
        <w:topLinePunct w:val="0"/>
        <w:bidi w:val="0"/>
        <w:snapToGrid w:val="0"/>
        <w:spacing w:line="570" w:lineRule="exact"/>
        <w:ind w:left="0" w:leftChars="0" w:firstLine="643"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rPr>
        <w:t>三、其他收入：</w:t>
      </w:r>
      <w:r>
        <w:rPr>
          <w:rFonts w:hint="eastAsia" w:ascii="仿宋_GB2312" w:hAnsi="仿宋_GB2312" w:eastAsia="仿宋_GB2312" w:cs="仿宋_GB2312"/>
          <w:b w:val="0"/>
          <w:bCs w:val="0"/>
          <w:color w:val="auto"/>
          <w:kern w:val="0"/>
          <w:sz w:val="32"/>
          <w:szCs w:val="32"/>
          <w:highlight w:val="none"/>
          <w:shd w:val="clear" w:color="auto" w:fill="FFFFFF"/>
        </w:rPr>
        <w:t>是指部门取得的除“财政拨款”、“事业收入”、“事业单位经营收入”等以外的收入。</w:t>
      </w:r>
    </w:p>
    <w:p>
      <w:pPr>
        <w:pStyle w:val="2"/>
        <w:keepNext w:val="0"/>
        <w:keepLines w:val="0"/>
        <w:pageBreakBefore w:val="0"/>
        <w:kinsoku w:val="0"/>
        <w:wordWrap/>
        <w:overflowPunct w:val="0"/>
        <w:topLinePunct w:val="0"/>
        <w:bidi w:val="0"/>
        <w:snapToGrid w:val="0"/>
        <w:spacing w:line="570" w:lineRule="exact"/>
        <w:ind w:left="0" w:leftChars="0" w:firstLine="643"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rPr>
        <w:t>四、用事业基金弥补收支差额：</w:t>
      </w:r>
      <w:r>
        <w:rPr>
          <w:rFonts w:hint="eastAsia" w:ascii="仿宋_GB2312" w:hAnsi="仿宋_GB2312" w:eastAsia="仿宋_GB2312" w:cs="仿宋_GB2312"/>
          <w:b w:val="0"/>
          <w:bCs w:val="0"/>
          <w:color w:val="auto"/>
          <w:kern w:val="0"/>
          <w:sz w:val="32"/>
          <w:szCs w:val="32"/>
          <w:highlight w:val="none"/>
          <w:shd w:val="clear" w:color="auto" w:fill="FFFFFF"/>
        </w:rPr>
        <w:t>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pPr>
        <w:pStyle w:val="2"/>
        <w:keepNext w:val="0"/>
        <w:keepLines w:val="0"/>
        <w:pageBreakBefore w:val="0"/>
        <w:kinsoku w:val="0"/>
        <w:wordWrap/>
        <w:overflowPunct w:val="0"/>
        <w:topLinePunct w:val="0"/>
        <w:bidi w:val="0"/>
        <w:snapToGrid w:val="0"/>
        <w:spacing w:line="570" w:lineRule="exact"/>
        <w:ind w:left="0" w:leftChars="0" w:firstLine="643" w:firstLineChars="200"/>
        <w:jc w:val="left"/>
        <w:textAlignment w:val="auto"/>
        <w:rPr>
          <w:rFonts w:hint="eastAsia" w:ascii="仿宋_GB2312" w:hAnsi="仿宋_GB2312" w:eastAsia="仿宋_GB2312" w:cs="仿宋_GB2312"/>
          <w:b w:val="0"/>
          <w:bCs w:val="0"/>
          <w:color w:val="auto"/>
          <w:kern w:val="2"/>
          <w:sz w:val="32"/>
          <w:szCs w:val="32"/>
          <w:highlight w:val="none"/>
        </w:rPr>
      </w:pPr>
      <w:r>
        <w:rPr>
          <w:rFonts w:hint="eastAsia" w:ascii="楷体_GB2312" w:hAnsi="楷体_GB2312" w:eastAsia="楷体_GB2312" w:cs="楷体_GB2312"/>
          <w:b/>
          <w:bCs/>
          <w:color w:val="auto"/>
          <w:kern w:val="0"/>
          <w:sz w:val="32"/>
          <w:szCs w:val="32"/>
          <w:highlight w:val="none"/>
          <w:shd w:val="clear" w:color="auto" w:fill="FFFFFF"/>
          <w:lang w:val="en-US" w:eastAsia="zh-CN"/>
        </w:rPr>
        <w:t>五、上年结转和结余：</w:t>
      </w:r>
      <w:r>
        <w:rPr>
          <w:rFonts w:hint="eastAsia" w:ascii="仿宋_GB2312" w:hAnsi="仿宋_GB2312" w:eastAsia="仿宋_GB2312" w:cs="仿宋_GB2312"/>
          <w:b w:val="0"/>
          <w:bCs w:val="0"/>
          <w:color w:val="auto"/>
          <w:kern w:val="0"/>
          <w:sz w:val="32"/>
          <w:szCs w:val="32"/>
          <w:highlight w:val="none"/>
          <w:shd w:val="clear" w:color="auto" w:fill="FFFFFF"/>
        </w:rPr>
        <w:t>是指以前年度支出预算因客观条件变化未执行完毕、结转到本年度按有关规定继续使用的资金，既包括财政拨款结转和结余，也包括事业收入、经营收入、其他收入的结转和结余。</w:t>
      </w:r>
    </w:p>
    <w:p>
      <w:pPr>
        <w:pStyle w:val="2"/>
        <w:keepNext w:val="0"/>
        <w:keepLines w:val="0"/>
        <w:pageBreakBefore w:val="0"/>
        <w:kinsoku w:val="0"/>
        <w:wordWrap/>
        <w:overflowPunct w:val="0"/>
        <w:topLinePunct w:val="0"/>
        <w:bidi w:val="0"/>
        <w:snapToGrid w:val="0"/>
        <w:spacing w:line="570" w:lineRule="exact"/>
        <w:ind w:left="0" w:leftChars="0" w:firstLine="643"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rPr>
        <w:t>六、基本支出：</w:t>
      </w:r>
      <w:r>
        <w:rPr>
          <w:rFonts w:hint="eastAsia" w:ascii="仿宋_GB2312" w:hAnsi="仿宋_GB2312" w:eastAsia="仿宋_GB2312" w:cs="仿宋_GB2312"/>
          <w:b w:val="0"/>
          <w:bCs w:val="0"/>
          <w:color w:val="auto"/>
          <w:kern w:val="0"/>
          <w:sz w:val="32"/>
          <w:szCs w:val="32"/>
          <w:highlight w:val="none"/>
          <w:shd w:val="clear" w:color="auto" w:fill="FFFFFF"/>
        </w:rPr>
        <w:t>是指为保障机构正常运转、完成日常工作任务所必需的开支，其内容包括人员经费和日常公用经费两部分。</w:t>
      </w:r>
    </w:p>
    <w:p>
      <w:pPr>
        <w:pStyle w:val="2"/>
        <w:keepNext w:val="0"/>
        <w:keepLines w:val="0"/>
        <w:pageBreakBefore w:val="0"/>
        <w:kinsoku w:val="0"/>
        <w:wordWrap/>
        <w:overflowPunct w:val="0"/>
        <w:topLinePunct w:val="0"/>
        <w:bidi w:val="0"/>
        <w:snapToGrid w:val="0"/>
        <w:spacing w:line="570" w:lineRule="exact"/>
        <w:ind w:left="0" w:leftChars="0" w:firstLine="643"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rPr>
        <w:t>七、项目支出：</w:t>
      </w:r>
      <w:r>
        <w:rPr>
          <w:rFonts w:hint="eastAsia" w:ascii="仿宋_GB2312" w:hAnsi="仿宋_GB2312" w:eastAsia="仿宋_GB2312" w:cs="仿宋_GB2312"/>
          <w:b w:val="0"/>
          <w:bCs w:val="0"/>
          <w:color w:val="auto"/>
          <w:kern w:val="0"/>
          <w:sz w:val="32"/>
          <w:szCs w:val="32"/>
          <w:highlight w:val="none"/>
          <w:shd w:val="clear" w:color="auto" w:fill="FFFFFF"/>
        </w:rPr>
        <w:t>是指在基本支出之外，为完成特定的行政工作任务或事业发展目标所发生的支出。</w:t>
      </w:r>
    </w:p>
    <w:p>
      <w:pPr>
        <w:pStyle w:val="2"/>
        <w:keepNext w:val="0"/>
        <w:keepLines w:val="0"/>
        <w:pageBreakBefore w:val="0"/>
        <w:kinsoku w:val="0"/>
        <w:wordWrap/>
        <w:overflowPunct w:val="0"/>
        <w:topLinePunct w:val="0"/>
        <w:bidi w:val="0"/>
        <w:snapToGrid w:val="0"/>
        <w:spacing w:line="570" w:lineRule="exact"/>
        <w:ind w:left="0" w:leftChars="0" w:firstLine="643"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rPr>
      </w:pPr>
      <w:r>
        <w:rPr>
          <w:rFonts w:hint="eastAsia" w:ascii="楷体_GB2312" w:hAnsi="楷体_GB2312" w:eastAsia="楷体_GB2312" w:cs="楷体_GB2312"/>
          <w:b/>
          <w:bCs/>
          <w:color w:val="auto"/>
          <w:kern w:val="0"/>
          <w:sz w:val="32"/>
          <w:szCs w:val="32"/>
          <w:highlight w:val="none"/>
          <w:shd w:val="clear" w:color="auto" w:fill="FFFFFF"/>
          <w:lang w:val="en-US" w:eastAsia="zh-CN"/>
        </w:rPr>
        <w:t>八、一般公共服务（类）退役军人事务（款）：</w:t>
      </w:r>
      <w:r>
        <w:rPr>
          <w:rFonts w:hint="eastAsia" w:ascii="仿宋_GB2312" w:hAnsi="仿宋_GB2312" w:eastAsia="仿宋_GB2312" w:cs="仿宋_GB2312"/>
          <w:b w:val="0"/>
          <w:bCs w:val="0"/>
          <w:color w:val="auto"/>
          <w:kern w:val="0"/>
          <w:sz w:val="32"/>
          <w:szCs w:val="32"/>
          <w:highlight w:val="none"/>
          <w:shd w:val="clear" w:color="auto" w:fill="FFFFFF"/>
        </w:rPr>
        <w:t>是指用于退役军人保障机构正常运行、开展</w:t>
      </w:r>
      <w:r>
        <w:rPr>
          <w:rFonts w:hint="eastAsia" w:ascii="仿宋_GB2312" w:hAnsi="仿宋_GB2312" w:eastAsia="仿宋_GB2312" w:cs="仿宋_GB2312"/>
          <w:b w:val="0"/>
          <w:bCs w:val="0"/>
          <w:color w:val="auto"/>
          <w:kern w:val="0"/>
          <w:sz w:val="32"/>
          <w:szCs w:val="32"/>
          <w:highlight w:val="none"/>
          <w:shd w:val="clear" w:color="auto" w:fill="FFFFFF"/>
          <w:lang w:eastAsia="zh-CN"/>
        </w:rPr>
        <w:t>退役军人</w:t>
      </w:r>
      <w:r>
        <w:rPr>
          <w:rFonts w:hint="eastAsia" w:ascii="仿宋_GB2312" w:hAnsi="仿宋_GB2312" w:eastAsia="仿宋_GB2312" w:cs="仿宋_GB2312"/>
          <w:b w:val="0"/>
          <w:bCs w:val="0"/>
          <w:color w:val="auto"/>
          <w:kern w:val="0"/>
          <w:sz w:val="32"/>
          <w:szCs w:val="32"/>
          <w:highlight w:val="none"/>
          <w:shd w:val="clear" w:color="auto" w:fill="FFFFFF"/>
        </w:rPr>
        <w:t>事务业务等活动的支出。</w:t>
      </w:r>
    </w:p>
    <w:p>
      <w:pPr>
        <w:pStyle w:val="2"/>
        <w:keepNext w:val="0"/>
        <w:keepLines w:val="0"/>
        <w:pageBreakBefore w:val="0"/>
        <w:kinsoku w:val="0"/>
        <w:wordWrap/>
        <w:overflowPunct w:val="0"/>
        <w:topLinePunct w:val="0"/>
        <w:bidi w:val="0"/>
        <w:snapToGrid w:val="0"/>
        <w:spacing w:line="570" w:lineRule="exact"/>
        <w:ind w:left="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rPr>
      </w:pPr>
      <w:r>
        <w:rPr>
          <w:rFonts w:hint="eastAsia" w:ascii="仿宋_GB2312" w:hAnsi="仿宋_GB2312" w:eastAsia="仿宋_GB2312" w:cs="仿宋_GB2312"/>
          <w:b w:val="0"/>
          <w:bCs w:val="0"/>
          <w:color w:val="auto"/>
          <w:kern w:val="0"/>
          <w:sz w:val="32"/>
          <w:szCs w:val="32"/>
          <w:highlight w:val="none"/>
          <w:shd w:val="clear" w:color="auto" w:fill="FFFFFF"/>
        </w:rPr>
        <w:t>（一）行政运行（项）：是指为保障各退役军人行政机构正常运转、完成日常工作任务安排的支出。</w:t>
      </w:r>
    </w:p>
    <w:p>
      <w:pPr>
        <w:pStyle w:val="2"/>
        <w:keepNext w:val="0"/>
        <w:keepLines w:val="0"/>
        <w:pageBreakBefore w:val="0"/>
        <w:kinsoku w:val="0"/>
        <w:wordWrap/>
        <w:overflowPunct w:val="0"/>
        <w:topLinePunct w:val="0"/>
        <w:bidi w:val="0"/>
        <w:snapToGrid w:val="0"/>
        <w:spacing w:line="570" w:lineRule="exact"/>
        <w:ind w:left="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rPr>
      </w:pPr>
      <w:r>
        <w:rPr>
          <w:rFonts w:hint="eastAsia" w:ascii="仿宋_GB2312" w:hAnsi="仿宋_GB2312" w:eastAsia="仿宋_GB2312" w:cs="仿宋_GB2312"/>
          <w:b w:val="0"/>
          <w:bCs w:val="0"/>
          <w:color w:val="auto"/>
          <w:kern w:val="0"/>
          <w:sz w:val="32"/>
          <w:szCs w:val="32"/>
          <w:highlight w:val="none"/>
          <w:shd w:val="clear" w:color="auto" w:fill="FFFFFF"/>
        </w:rPr>
        <w:t>（二）一般行政管理事务（项）：是指</w:t>
      </w:r>
      <w:r>
        <w:rPr>
          <w:rFonts w:hint="eastAsia" w:ascii="仿宋_GB2312" w:hAnsi="仿宋_GB2312" w:eastAsia="仿宋_GB2312" w:cs="仿宋_GB2312"/>
          <w:b w:val="0"/>
          <w:bCs w:val="0"/>
          <w:color w:val="auto"/>
          <w:kern w:val="0"/>
          <w:sz w:val="32"/>
          <w:szCs w:val="32"/>
          <w:highlight w:val="none"/>
          <w:shd w:val="clear" w:color="auto" w:fill="FFFFFF"/>
          <w:lang w:eastAsia="zh-CN"/>
        </w:rPr>
        <w:t>退役军人事务</w:t>
      </w:r>
      <w:r>
        <w:rPr>
          <w:rFonts w:hint="eastAsia" w:ascii="仿宋_GB2312" w:hAnsi="仿宋_GB2312" w:eastAsia="仿宋_GB2312" w:cs="仿宋_GB2312"/>
          <w:b w:val="0"/>
          <w:bCs w:val="0"/>
          <w:color w:val="auto"/>
          <w:kern w:val="0"/>
          <w:sz w:val="32"/>
          <w:szCs w:val="32"/>
          <w:highlight w:val="none"/>
          <w:shd w:val="clear" w:color="auto" w:fill="FFFFFF"/>
        </w:rPr>
        <w:t>局机关及所属二级单位的项目支出。</w:t>
      </w:r>
    </w:p>
    <w:p>
      <w:pPr>
        <w:pStyle w:val="2"/>
        <w:keepNext w:val="0"/>
        <w:keepLines w:val="0"/>
        <w:pageBreakBefore w:val="0"/>
        <w:kinsoku w:val="0"/>
        <w:wordWrap/>
        <w:overflowPunct w:val="0"/>
        <w:topLinePunct w:val="0"/>
        <w:bidi w:val="0"/>
        <w:snapToGrid w:val="0"/>
        <w:spacing w:line="570" w:lineRule="exact"/>
        <w:ind w:left="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rPr>
      </w:pPr>
      <w:r>
        <w:rPr>
          <w:rFonts w:hint="eastAsia" w:ascii="仿宋_GB2312" w:hAnsi="仿宋_GB2312" w:eastAsia="仿宋_GB2312" w:cs="仿宋_GB2312"/>
          <w:b w:val="0"/>
          <w:bCs w:val="0"/>
          <w:color w:val="auto"/>
          <w:kern w:val="0"/>
          <w:sz w:val="32"/>
          <w:szCs w:val="32"/>
          <w:highlight w:val="none"/>
          <w:shd w:val="clear" w:color="auto" w:fill="FFFFFF"/>
        </w:rPr>
        <w:t>（三）机关服务（项）：是指为</w:t>
      </w:r>
      <w:r>
        <w:rPr>
          <w:rFonts w:hint="eastAsia" w:ascii="仿宋_GB2312" w:hAnsi="仿宋_GB2312" w:eastAsia="仿宋_GB2312" w:cs="仿宋_GB2312"/>
          <w:b w:val="0"/>
          <w:bCs w:val="0"/>
          <w:color w:val="auto"/>
          <w:kern w:val="0"/>
          <w:sz w:val="32"/>
          <w:szCs w:val="32"/>
          <w:highlight w:val="none"/>
          <w:shd w:val="clear" w:color="auto" w:fill="FFFFFF"/>
          <w:lang w:eastAsia="zh-CN"/>
        </w:rPr>
        <w:t>退役军人事务</w:t>
      </w:r>
      <w:r>
        <w:rPr>
          <w:rFonts w:hint="eastAsia" w:ascii="仿宋_GB2312" w:hAnsi="仿宋_GB2312" w:eastAsia="仿宋_GB2312" w:cs="仿宋_GB2312"/>
          <w:b w:val="0"/>
          <w:bCs w:val="0"/>
          <w:color w:val="auto"/>
          <w:kern w:val="0"/>
          <w:sz w:val="32"/>
          <w:szCs w:val="32"/>
          <w:highlight w:val="none"/>
          <w:shd w:val="clear" w:color="auto" w:fill="FFFFFF"/>
        </w:rPr>
        <w:t>局机关提供后勤保障服务的机关服务的支出。</w:t>
      </w:r>
    </w:p>
    <w:p>
      <w:pPr>
        <w:pStyle w:val="2"/>
        <w:keepNext w:val="0"/>
        <w:keepLines w:val="0"/>
        <w:pageBreakBefore w:val="0"/>
        <w:kinsoku w:val="0"/>
        <w:wordWrap/>
        <w:overflowPunct w:val="0"/>
        <w:topLinePunct w:val="0"/>
        <w:bidi w:val="0"/>
        <w:snapToGrid w:val="0"/>
        <w:spacing w:line="570" w:lineRule="exact"/>
        <w:ind w:left="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rPr>
      </w:pPr>
      <w:r>
        <w:rPr>
          <w:rFonts w:hint="eastAsia" w:ascii="仿宋_GB2312" w:hAnsi="仿宋_GB2312" w:eastAsia="仿宋_GB2312" w:cs="仿宋_GB2312"/>
          <w:b w:val="0"/>
          <w:bCs w:val="0"/>
          <w:color w:val="auto"/>
          <w:kern w:val="0"/>
          <w:sz w:val="32"/>
          <w:szCs w:val="32"/>
          <w:highlight w:val="none"/>
          <w:shd w:val="clear" w:color="auto" w:fill="FFFFFF"/>
        </w:rPr>
        <w:t>（四）事业运行（项）：是指事业单位用于保障机构正常运转的基本支出。</w:t>
      </w:r>
    </w:p>
    <w:p>
      <w:pPr>
        <w:pStyle w:val="2"/>
        <w:keepNext w:val="0"/>
        <w:keepLines w:val="0"/>
        <w:pageBreakBefore w:val="0"/>
        <w:kinsoku w:val="0"/>
        <w:wordWrap/>
        <w:overflowPunct w:val="0"/>
        <w:topLinePunct w:val="0"/>
        <w:bidi w:val="0"/>
        <w:snapToGrid w:val="0"/>
        <w:spacing w:line="570" w:lineRule="exact"/>
        <w:ind w:left="0"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rPr>
      </w:pPr>
      <w:r>
        <w:rPr>
          <w:rFonts w:hint="eastAsia" w:ascii="仿宋_GB2312" w:hAnsi="仿宋_GB2312" w:eastAsia="仿宋_GB2312" w:cs="仿宋_GB2312"/>
          <w:b w:val="0"/>
          <w:bCs w:val="0"/>
          <w:color w:val="auto"/>
          <w:kern w:val="0"/>
          <w:sz w:val="32"/>
          <w:szCs w:val="32"/>
          <w:highlight w:val="none"/>
          <w:shd w:val="clear" w:color="auto" w:fill="FFFFFF"/>
        </w:rPr>
        <w:t>（八）其他支出（项）：其他业务支出。</w:t>
      </w:r>
    </w:p>
    <w:p>
      <w:pPr>
        <w:keepNext w:val="0"/>
        <w:keepLines w:val="0"/>
        <w:pageBreakBefore w:val="0"/>
        <w:wordWrap/>
        <w:topLinePunct w:val="0"/>
        <w:bidi w:val="0"/>
        <w:adjustRightInd w:val="0"/>
        <w:snapToGrid w:val="0"/>
        <w:spacing w:line="570" w:lineRule="exact"/>
        <w:ind w:firstLine="643"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bidi="ar-SA"/>
        </w:rPr>
        <w:t>九、“三公”经费：</w:t>
      </w:r>
      <w:r>
        <w:rPr>
          <w:rFonts w:hint="eastAsia" w:ascii="仿宋_GB2312" w:hAnsi="仿宋_GB2312" w:eastAsia="仿宋_GB2312" w:cs="仿宋_GB2312"/>
          <w:b w:val="0"/>
          <w:bCs w:val="0"/>
          <w:color w:val="auto"/>
          <w:kern w:val="0"/>
          <w:sz w:val="32"/>
          <w:szCs w:val="32"/>
          <w:highlight w:val="none"/>
          <w:shd w:val="clear" w:color="auto" w:fill="FFFFFF"/>
        </w:rPr>
        <w:t>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ordWrap/>
        <w:topLinePunct w:val="0"/>
        <w:bidi w:val="0"/>
        <w:adjustRightInd w:val="0"/>
        <w:snapToGrid w:val="0"/>
        <w:spacing w:line="570" w:lineRule="exact"/>
        <w:ind w:firstLine="643"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bidi="ar-SA"/>
        </w:rPr>
        <w:t>十、机关运行经费：</w:t>
      </w:r>
      <w:r>
        <w:rPr>
          <w:rFonts w:hint="eastAsia" w:ascii="仿宋_GB2312" w:hAnsi="仿宋_GB2312" w:eastAsia="仿宋_GB2312" w:cs="仿宋_GB2312"/>
          <w:b w:val="0"/>
          <w:bCs w:val="0"/>
          <w:color w:val="auto"/>
          <w:kern w:val="0"/>
          <w:sz w:val="32"/>
          <w:szCs w:val="32"/>
          <w:highlight w:val="none"/>
          <w:shd w:val="clear" w:color="auto" w:fill="FFFFFF"/>
        </w:rPr>
        <w:t>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eepNext w:val="0"/>
        <w:keepLines w:val="0"/>
        <w:pageBreakBefore w:val="0"/>
        <w:wordWrap/>
        <w:topLinePunct w:val="0"/>
        <w:bidi w:val="0"/>
        <w:adjustRightInd w:val="0"/>
        <w:snapToGrid w:val="0"/>
        <w:spacing w:line="57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eastAsia="zh-CN"/>
        </w:rPr>
      </w:pPr>
    </w:p>
    <w:p>
      <w:pPr>
        <w:keepNext w:val="0"/>
        <w:keepLines w:val="0"/>
        <w:pageBreakBefore w:val="0"/>
        <w:wordWrap/>
        <w:topLinePunct w:val="0"/>
        <w:bidi w:val="0"/>
        <w:adjustRightInd w:val="0"/>
        <w:snapToGrid w:val="0"/>
        <w:spacing w:line="570" w:lineRule="exact"/>
        <w:ind w:firstLine="640" w:firstLineChars="200"/>
        <w:jc w:val="left"/>
        <w:textAlignment w:val="auto"/>
        <w:rPr>
          <w:rFonts w:hint="eastAsia" w:ascii="仿宋_GB2312" w:hAnsi="仿宋_GB2312" w:eastAsia="仿宋_GB2312" w:cs="仿宋_GB2312"/>
          <w:b w:val="0"/>
          <w:bCs w:val="0"/>
          <w:kern w:val="0"/>
          <w:sz w:val="32"/>
          <w:szCs w:val="32"/>
          <w:highlight w:val="none"/>
        </w:rPr>
      </w:pPr>
      <w:r>
        <w:rPr>
          <w:rFonts w:hint="eastAsia" w:ascii="仿宋_GB2312" w:hAnsi="仿宋_GB2312" w:eastAsia="仿宋_GB2312" w:cs="仿宋_GB2312"/>
          <w:b w:val="0"/>
          <w:bCs w:val="0"/>
          <w:kern w:val="0"/>
          <w:sz w:val="32"/>
          <w:szCs w:val="32"/>
          <w:highlight w:val="none"/>
        </w:rPr>
        <w:t>附件：</w:t>
      </w:r>
      <w:r>
        <w:rPr>
          <w:rFonts w:hint="eastAsia" w:ascii="仿宋_GB2312" w:hAnsi="仿宋_GB2312" w:eastAsia="仿宋_GB2312" w:cs="仿宋_GB2312"/>
          <w:b w:val="0"/>
          <w:bCs w:val="0"/>
          <w:sz w:val="32"/>
          <w:szCs w:val="32"/>
          <w:highlight w:val="none"/>
        </w:rPr>
        <w:fldChar w:fldCharType="begin"/>
      </w:r>
      <w:r>
        <w:rPr>
          <w:rFonts w:hint="eastAsia" w:ascii="仿宋_GB2312" w:hAnsi="仿宋_GB2312" w:eastAsia="仿宋_GB2312" w:cs="仿宋_GB2312"/>
          <w:b w:val="0"/>
          <w:bCs w:val="0"/>
          <w:sz w:val="32"/>
          <w:szCs w:val="32"/>
          <w:highlight w:val="none"/>
        </w:rPr>
        <w:instrText xml:space="preserve">HYPERLINK "http://www.haedu.gov.cn/UserFiles/File/201803/20180309144718540.doc" </w:instrText>
      </w:r>
      <w:r>
        <w:rPr>
          <w:rFonts w:hint="eastAsia" w:ascii="仿宋_GB2312" w:hAnsi="仿宋_GB2312" w:eastAsia="仿宋_GB2312" w:cs="仿宋_GB2312"/>
          <w:b w:val="0"/>
          <w:bCs w:val="0"/>
          <w:sz w:val="32"/>
          <w:szCs w:val="32"/>
          <w:highlight w:val="none"/>
        </w:rPr>
        <w:fldChar w:fldCharType="separate"/>
      </w:r>
      <w:r>
        <w:rPr>
          <w:rFonts w:hint="eastAsia" w:ascii="仿宋_GB2312" w:hAnsi="仿宋_GB2312" w:eastAsia="仿宋_GB2312" w:cs="仿宋_GB2312"/>
          <w:b w:val="0"/>
          <w:bCs w:val="0"/>
          <w:kern w:val="0"/>
          <w:sz w:val="32"/>
          <w:szCs w:val="32"/>
          <w:highlight w:val="none"/>
          <w:lang w:val="en-US" w:eastAsia="zh-CN"/>
        </w:rPr>
        <w:t>罗山县退役军人事务局</w:t>
      </w:r>
      <w:r>
        <w:rPr>
          <w:rFonts w:hint="eastAsia" w:ascii="仿宋_GB2312" w:hAnsi="仿宋_GB2312" w:eastAsia="仿宋_GB2312" w:cs="仿宋_GB2312"/>
          <w:b w:val="0"/>
          <w:bCs w:val="0"/>
          <w:kern w:val="0"/>
          <w:sz w:val="32"/>
          <w:szCs w:val="32"/>
          <w:highlight w:val="none"/>
        </w:rPr>
        <w:t>202</w:t>
      </w:r>
      <w:r>
        <w:rPr>
          <w:rFonts w:hint="eastAsia" w:ascii="仿宋_GB2312" w:hAnsi="仿宋_GB2312" w:eastAsia="仿宋_GB2312" w:cs="仿宋_GB2312"/>
          <w:b w:val="0"/>
          <w:bCs w:val="0"/>
          <w:kern w:val="0"/>
          <w:sz w:val="32"/>
          <w:szCs w:val="32"/>
          <w:highlight w:val="none"/>
          <w:lang w:val="en-US" w:eastAsia="zh-CN"/>
        </w:rPr>
        <w:t>1</w:t>
      </w:r>
      <w:r>
        <w:rPr>
          <w:rFonts w:hint="eastAsia" w:ascii="仿宋_GB2312" w:hAnsi="仿宋_GB2312" w:eastAsia="仿宋_GB2312" w:cs="仿宋_GB2312"/>
          <w:b w:val="0"/>
          <w:bCs w:val="0"/>
          <w:kern w:val="0"/>
          <w:sz w:val="32"/>
          <w:szCs w:val="32"/>
          <w:highlight w:val="none"/>
        </w:rPr>
        <w:t>年部门预算表</w:t>
      </w:r>
      <w:r>
        <w:rPr>
          <w:rFonts w:hint="eastAsia" w:ascii="仿宋_GB2312" w:hAnsi="仿宋_GB2312" w:eastAsia="仿宋_GB2312" w:cs="仿宋_GB2312"/>
          <w:b w:val="0"/>
          <w:bCs w:val="0"/>
          <w:sz w:val="32"/>
          <w:szCs w:val="32"/>
          <w:highlight w:val="none"/>
        </w:rPr>
        <w:fldChar w:fldCharType="end"/>
      </w:r>
    </w:p>
    <w:p>
      <w:pPr>
        <w:keepNext w:val="0"/>
        <w:keepLines w:val="0"/>
        <w:pageBreakBefore w:val="0"/>
        <w:wordWrap/>
        <w:topLinePunct w:val="0"/>
        <w:bidi w:val="0"/>
        <w:spacing w:line="57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Q2NjI0NzAyNTBjYzUyZmQxMDdmNGQxYzI4MDA2YmIifQ=="/>
  </w:docVars>
  <w:rsids>
    <w:rsidRoot w:val="58914A84"/>
    <w:rsid w:val="002A1DBF"/>
    <w:rsid w:val="005956C0"/>
    <w:rsid w:val="00A415FD"/>
    <w:rsid w:val="05A7316C"/>
    <w:rsid w:val="07DD5299"/>
    <w:rsid w:val="176835AF"/>
    <w:rsid w:val="19AE0B48"/>
    <w:rsid w:val="200E3C88"/>
    <w:rsid w:val="22F86E7C"/>
    <w:rsid w:val="2AD81C12"/>
    <w:rsid w:val="326544AF"/>
    <w:rsid w:val="446C1439"/>
    <w:rsid w:val="48166444"/>
    <w:rsid w:val="4C9F6E01"/>
    <w:rsid w:val="4FB905D6"/>
    <w:rsid w:val="52B41C42"/>
    <w:rsid w:val="58914A84"/>
    <w:rsid w:val="5A3F15AB"/>
    <w:rsid w:val="5E8C225D"/>
    <w:rsid w:val="60525CA1"/>
    <w:rsid w:val="690B68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ind w:left="761"/>
      <w:jc w:val="left"/>
    </w:pPr>
    <w:rPr>
      <w:rFonts w:ascii="仿宋_GB2312" w:hAnsi="Calibri" w:eastAsia="仿宋_GB2312"/>
      <w:kern w:val="0"/>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4539</Words>
  <Characters>4752</Characters>
  <Lines>27</Lines>
  <Paragraphs>7</Paragraphs>
  <TotalTime>21</TotalTime>
  <ScaleCrop>false</ScaleCrop>
  <LinksUpToDate>false</LinksUpToDate>
  <CharactersWithSpaces>4757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2021-07-14T02:51:00Z</dcterms:created>
  <dc:creator>LENOVO</dc:creator>
  <cp:lastModifiedBy>拥有你就拥有了全世界。</cp:lastModifiedBy>
  <cp:lastPrinted>2021-07-16T02:46:00Z</cp:lastPrinted>
  <dcterms:modified xsi:type="dcterms:W3CDTF">2022-09-06T01:07:03Z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474252555851464F90716251BFC6998F</vt:lpwstr>
  </property>
</Properties>
</file>