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2021年</w:t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  <w:lang w:eastAsia="zh-CN"/>
        </w:rPr>
        <w:t>罗山县广电和旅游</w:t>
      </w: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局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部门预算公开</w:t>
      </w:r>
    </w:p>
    <w:p>
      <w:pPr>
        <w:widowControl/>
        <w:shd w:val="clear" w:color="auto" w:fill="FFFFFF"/>
        <w:spacing w:before="300" w:line="420" w:lineRule="atLeast"/>
        <w:rPr>
          <w:rFonts w:hint="eastAsia" w:ascii="楷体" w:hAnsi="楷体" w:eastAsia="楷体" w:cs="楷体"/>
          <w:color w:val="666666"/>
          <w:szCs w:val="21"/>
        </w:rPr>
      </w:pPr>
      <w:r>
        <w:rPr>
          <w:rFonts w:hint="eastAsia" w:ascii="楷体" w:hAnsi="楷体" w:eastAsia="楷体" w:cs="楷体"/>
          <w:color w:val="666666"/>
          <w:kern w:val="0"/>
          <w:sz w:val="39"/>
          <w:szCs w:val="39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6"/>
          <w:szCs w:val="36"/>
          <w:shd w:val="clear" w:color="auto" w:fill="FFFFFF"/>
        </w:rPr>
        <w:t>目 录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第一部分 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局概况 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一、主要职能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二、机构设置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三、部门预算单位构成</w:t>
      </w: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第二部分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局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2021年度部门预算情况说明 </w:t>
      </w: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第三部分 名词解释</w:t>
      </w: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附件：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局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2021年度部门预算表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一、部门收支总体情况表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二、部门收入总体情况表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三、部门支出总体情况表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四、财政拨款收支总体情况表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五、一般公共预算支出情况表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六、一般公共预算基本支出情况表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七、一般公共预算“三公”经费支出情况表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八、政府性基金预算支出情况表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szCs w:val="21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pacing w:before="30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第一部分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局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概况</w:t>
      </w:r>
    </w:p>
    <w:p>
      <w:pPr>
        <w:widowControl/>
        <w:shd w:val="clear" w:color="auto" w:fill="FFFFFF"/>
        <w:spacing w:line="450" w:lineRule="atLeast"/>
        <w:ind w:firstLine="540" w:firstLineChars="2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50" w:lineRule="atLeast"/>
        <w:ind w:firstLine="542" w:firstLineChars="200"/>
        <w:jc w:val="left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局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主要职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能</w:t>
      </w:r>
    </w:p>
    <w:p>
      <w:pPr>
        <w:widowControl/>
        <w:shd w:val="clear" w:color="auto" w:fill="FFFFFF"/>
        <w:spacing w:line="450" w:lineRule="atLeast"/>
        <w:ind w:firstLine="54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kern w:val="0"/>
          <w:sz w:val="28"/>
          <w:szCs w:val="28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（一）研究拟定全县文化广电和旅游政策措施，起草广播电视、网络视听节目服务和文物保护管理制度，并组织实施。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二）统筹规划全县文化广电事业、文化产业和旅游产业发展，拟订发展规划并组织实施，推进文化广电和旅游融和发展，推进文化广电和旅游体制机制改革。扶持体现社会主义核心价值观、具有导向性代表性示范性的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三）指导、管理全县文艺事业，指导艺术创作生产，扶持体现社会主义核心价值观、具有导向性代表性示范性的文艺作品创作生产，推动各相关门类艺术、各相关艺术品种发展；指导协调全县重大文化和旅游活动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（四）负责公共文化事业发展，指导、推进全县公共文化服务体系建设、旅游公共服务建设和广播电视重点基础设施建设，统筹推进基本公共文化服务标准化、均等化，深入推进文化和旅游惠民工程。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（五）指导、推进文化广电和旅游科技创新发展，推进文化文物广电和旅游行业信息化、数字化、标准化建设。负责全县文化艺术广电和旅游人才队伍建设工作。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（六）负责非物质文化遗产保护，推动全县非物质文化遗产的保护、传承、普及、弘扬和振兴，推动优秀传统文化传承发展。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（七）组织实施文化和旅游资源普查、挖掘、保护和利用工作，参与乡村振兴战略工作，指导、推进全域旅游。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（八）拟定文化产业相关门类和旅游产业发展规划并组织实施，指导文化广电和旅游重大项目建设，知道文化产业相关门类和旅游产业结构优化升级，促进文化产业、动漫和网络游戏以及旅游产业发展。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（九）统筹规划红色旅游发展，指导推进红色纪念地、场馆提升工作，组织开展红色重大活动，协调推动红色旅游区域合作。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十）指导文化广电和旅游市场发展，对文化广电和旅游市场经营进行行业监管，推进文化广电和旅游行业精神文明和信用体系建设，依法规范文化广电和旅游市场，指导推动文化广电和旅游企业质量管理和品牌培育，负责文化广电和旅游行业安全监督管理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（十一）统筹规划广播电视产业发展，指导推进广播电视健康发展工作。负责对电视动漫和网络视听中的动漫节目管理和利用。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（十二）宣传、贯彻、落实文物法律法规和方针政策；拟定和实施权限文物保护利用发展规划；负责全县文物保护管理和利用。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（十三）拟订文化和旅游市场开发战略并组织实施，组织开展全县文化和旅游的宣传推广工作，推进文化旅游区域合作。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（十四）指导、管理文化旅游对外及对港澳台交流、合作和宣传、推广工作，组织大型文化和旅游对外及对港澳台交流、推广活动。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（十五）指导文化广电和旅游市场综合执法，组织查处全县性、跨区域文化、广播电视、旅游等市场的违法行为，督查督办大案要案，维护市场秩序。</w:t>
      </w:r>
    </w:p>
    <w:p>
      <w:pPr>
        <w:widowControl/>
        <w:shd w:val="clear" w:color="auto" w:fill="FFFFFF"/>
        <w:spacing w:line="450" w:lineRule="atLeast"/>
        <w:ind w:firstLine="600" w:firstLineChars="200"/>
        <w:jc w:val="left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（十六）完成县委、县政府交办的其他任务。</w:t>
      </w:r>
    </w:p>
    <w:p>
      <w:pPr>
        <w:widowControl/>
        <w:shd w:val="clear" w:color="auto" w:fill="FFFFFF"/>
        <w:spacing w:line="450" w:lineRule="atLeast"/>
        <w:ind w:firstLine="542" w:firstLineChars="200"/>
        <w:jc w:val="left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局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机构设置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450" w:lineRule="atLeast"/>
        <w:ind w:firstLine="60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文化广电和旅游局属于一级机构，设6个内设机构：办公室（财务股人事股）、文化艺术股（非物质文化遗产保护股）、产业发展股、广电和传媒事业股、政策法规和市场管理股（执法监督股）、文博股。</w:t>
      </w:r>
    </w:p>
    <w:p>
      <w:pPr>
        <w:widowControl/>
        <w:shd w:val="clear" w:color="auto" w:fill="FFFFFF"/>
        <w:spacing w:line="450" w:lineRule="atLeast"/>
        <w:ind w:left="596" w:leftChars="284" w:firstLine="0" w:firstLineChars="0"/>
        <w:jc w:val="left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局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预算单位构成</w:t>
      </w:r>
    </w:p>
    <w:p>
      <w:pPr>
        <w:widowControl/>
        <w:spacing w:before="300"/>
        <w:ind w:firstLine="540" w:firstLineChars="2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根据部门预算管理有关规定，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</w:rPr>
        <w:t>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部门预算包括局机关本级预算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。无二级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单位预算。 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pacing w:before="30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第二部分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color w:val="666666"/>
          <w:kern w:val="0"/>
          <w:sz w:val="30"/>
          <w:szCs w:val="30"/>
          <w:shd w:val="clear" w:color="auto" w:fill="FFFFFF"/>
        </w:rPr>
        <w:t>局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2021年度部门预算情况说明</w:t>
      </w:r>
    </w:p>
    <w:p>
      <w:pPr>
        <w:spacing w:line="560" w:lineRule="exact"/>
        <w:ind w:firstLine="540" w:firstLineChars="200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spacing w:line="560" w:lineRule="exact"/>
        <w:ind w:firstLine="542" w:firstLineChars="200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一、收入支出预算总体情况说明</w:t>
      </w:r>
    </w:p>
    <w:p>
      <w:pPr>
        <w:spacing w:line="560" w:lineRule="exact"/>
        <w:ind w:firstLine="540" w:firstLineChars="200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</w:rPr>
        <w:t>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2021年收入总计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221.1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万元，支出总计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221.1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万元，与2020年预算相比，收入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12.9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5.8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%。主要原因：人员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，经费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;支出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12.9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5.8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%。主要原因：人员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，经费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</w:p>
    <w:p>
      <w:pPr>
        <w:spacing w:line="560" w:lineRule="exact"/>
        <w:ind w:firstLine="542" w:firstLineChars="200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二、收入预算总体情况说明</w:t>
      </w:r>
    </w:p>
    <w:p>
      <w:pPr>
        <w:spacing w:line="560" w:lineRule="exact"/>
        <w:ind w:firstLine="540" w:firstLineChars="200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</w:rPr>
        <w:t>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2021年收入合计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221.1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万元，其中：一般公共预算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221.1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。</w:t>
      </w:r>
    </w:p>
    <w:p>
      <w:pPr>
        <w:spacing w:line="560" w:lineRule="exact"/>
        <w:ind w:firstLine="542" w:firstLineChars="200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三、支出预算总体情况说明</w:t>
      </w:r>
    </w:p>
    <w:p>
      <w:pPr>
        <w:spacing w:line="560" w:lineRule="exact"/>
        <w:ind w:firstLine="540" w:firstLineChars="200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</w:rPr>
        <w:t>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2021年支出合计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221.1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万元，其中：基本支出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221.1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100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%。</w:t>
      </w:r>
    </w:p>
    <w:p>
      <w:pPr>
        <w:spacing w:line="560" w:lineRule="exact"/>
        <w:ind w:firstLine="542" w:firstLineChars="200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四、财政拨款收入支出预算总体情况说明</w:t>
      </w:r>
    </w:p>
    <w:p>
      <w:pPr>
        <w:spacing w:line="560" w:lineRule="exact"/>
        <w:ind w:firstLine="540" w:firstLineChars="200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</w:rPr>
        <w:t>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2021年一般公共预算收支预算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221.1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万元，政府性基金收支预算0万元。与 2020年相比，一般公共预算收支预算各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12.9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5.8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%，主要原因：人员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，经费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；政府性基金收支预算增加0万元，与2020年相比无差异。</w:t>
      </w:r>
    </w:p>
    <w:p>
      <w:pPr>
        <w:spacing w:line="560" w:lineRule="exact"/>
        <w:ind w:firstLine="542" w:firstLineChars="200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五、一般公共预算支出预算情况说明</w:t>
      </w:r>
    </w:p>
    <w:p>
      <w:pPr>
        <w:spacing w:line="560" w:lineRule="exact"/>
        <w:ind w:firstLine="540" w:firstLineChars="2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</w:rPr>
        <w:t>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2021年一般公共预算支出年初预算为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221.1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</w:t>
      </w:r>
      <w:r>
        <w:rPr>
          <w:rFonts w:hint="eastAsia" w:ascii="楷体" w:hAnsi="楷体" w:eastAsia="楷体" w:cs="楷体"/>
          <w:sz w:val="30"/>
          <w:szCs w:val="30"/>
        </w:rPr>
        <w:t>主要用于以下方面：一般公共服务支出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169.3</w:t>
      </w:r>
      <w:r>
        <w:rPr>
          <w:rFonts w:hint="eastAsia" w:ascii="楷体" w:hAnsi="楷体" w:eastAsia="楷体" w:cs="楷体"/>
          <w:sz w:val="30"/>
          <w:szCs w:val="30"/>
        </w:rPr>
        <w:t>万元，占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年初预算</w:t>
      </w:r>
      <w:r>
        <w:rPr>
          <w:rFonts w:hint="eastAsia" w:ascii="楷体" w:hAnsi="楷体" w:eastAsia="楷体" w:cs="楷体"/>
          <w:sz w:val="30"/>
          <w:szCs w:val="30"/>
        </w:rPr>
        <w:t>7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6.6</w:t>
      </w:r>
      <w:r>
        <w:rPr>
          <w:rFonts w:hint="eastAsia" w:ascii="楷体" w:hAnsi="楷体" w:eastAsia="楷体" w:cs="楷体"/>
          <w:sz w:val="30"/>
          <w:szCs w:val="30"/>
        </w:rPr>
        <w:t>%</w:t>
      </w:r>
      <w:r>
        <w:rPr>
          <w:rFonts w:hint="eastAsia" w:ascii="楷体" w:hAnsi="楷体" w:eastAsia="楷体" w:cs="楷体"/>
          <w:sz w:val="30"/>
          <w:szCs w:val="30"/>
        </w:rPr>
        <w:t>；社会保障和就业支出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23.3</w:t>
      </w:r>
      <w:r>
        <w:rPr>
          <w:rFonts w:hint="eastAsia" w:ascii="楷体" w:hAnsi="楷体" w:eastAsia="楷体" w:cs="楷体"/>
          <w:sz w:val="30"/>
          <w:szCs w:val="30"/>
        </w:rPr>
        <w:t>万元，占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年初预算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10.5%</w:t>
      </w:r>
      <w:r>
        <w:rPr>
          <w:rFonts w:hint="eastAsia" w:ascii="楷体" w:hAnsi="楷体" w:eastAsia="楷体" w:cs="楷体"/>
          <w:sz w:val="30"/>
          <w:szCs w:val="30"/>
        </w:rPr>
        <w:t>；医疗卫生支出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11.4</w:t>
      </w:r>
      <w:r>
        <w:rPr>
          <w:rFonts w:hint="eastAsia" w:ascii="楷体" w:hAnsi="楷体" w:eastAsia="楷体" w:cs="楷体"/>
          <w:sz w:val="30"/>
          <w:szCs w:val="30"/>
        </w:rPr>
        <w:t>万元，占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年初预算</w:t>
      </w:r>
      <w:r>
        <w:rPr>
          <w:rFonts w:hint="eastAsia" w:ascii="楷体" w:hAnsi="楷体" w:eastAsia="楷体" w:cs="楷体"/>
          <w:sz w:val="30"/>
          <w:szCs w:val="30"/>
        </w:rPr>
        <w:t>5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.2</w:t>
      </w:r>
      <w:r>
        <w:rPr>
          <w:rFonts w:hint="eastAsia" w:ascii="楷体" w:hAnsi="楷体" w:eastAsia="楷体" w:cs="楷体"/>
          <w:sz w:val="30"/>
          <w:szCs w:val="30"/>
        </w:rPr>
        <w:t>%</w:t>
      </w:r>
      <w:r>
        <w:rPr>
          <w:rFonts w:hint="eastAsia" w:ascii="楷体" w:hAnsi="楷体" w:eastAsia="楷体" w:cs="楷体"/>
          <w:sz w:val="30"/>
          <w:szCs w:val="30"/>
        </w:rPr>
        <w:t>；住房保障（类）支出</w:t>
      </w:r>
      <w:r>
        <w:rPr>
          <w:rFonts w:hint="eastAsia" w:ascii="楷体" w:hAnsi="楷体" w:eastAsia="楷体" w:cs="楷体"/>
          <w:sz w:val="30"/>
          <w:szCs w:val="30"/>
        </w:rPr>
        <w:t>1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7.1</w:t>
      </w:r>
      <w:r>
        <w:rPr>
          <w:rFonts w:hint="eastAsia" w:ascii="楷体" w:hAnsi="楷体" w:eastAsia="楷体" w:cs="楷体"/>
          <w:sz w:val="30"/>
          <w:szCs w:val="30"/>
        </w:rPr>
        <w:t>万元，占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年初预算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7.7</w:t>
      </w:r>
      <w:r>
        <w:rPr>
          <w:rFonts w:hint="eastAsia" w:ascii="楷体" w:hAnsi="楷体" w:eastAsia="楷体" w:cs="楷体"/>
          <w:sz w:val="30"/>
          <w:szCs w:val="30"/>
        </w:rPr>
        <w:t>%</w:t>
      </w:r>
      <w:r>
        <w:rPr>
          <w:rFonts w:hint="eastAsia" w:ascii="楷体" w:hAnsi="楷体" w:eastAsia="楷体" w:cs="楷体"/>
          <w:sz w:val="30"/>
          <w:szCs w:val="30"/>
        </w:rPr>
        <w:t>。</w:t>
      </w:r>
    </w:p>
    <w:p>
      <w:pPr>
        <w:widowControl/>
        <w:spacing w:before="300"/>
        <w:jc w:val="left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、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六、一般公共预算基本支出预算情况说明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</w:rPr>
        <w:t>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2021年一般公共预算基本支出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221.1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万元，其中：</w:t>
      </w:r>
      <w:r>
        <w:rPr>
          <w:rFonts w:hint="eastAsia" w:ascii="楷体" w:hAnsi="楷体" w:eastAsia="楷体" w:cs="楷体"/>
          <w:b/>
          <w:bCs/>
          <w:color w:val="666666"/>
          <w:kern w:val="0"/>
          <w:sz w:val="27"/>
          <w:szCs w:val="27"/>
          <w:shd w:val="clear" w:color="auto" w:fill="FFFFFF"/>
          <w:lang w:eastAsia="zh-CN"/>
        </w:rPr>
        <w:t>工资福利支出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213.7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万元，主要包括：基本工资、津贴补贴、奖金、社会保障缴费、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其他工资福利性支出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养老保险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、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医疗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费、住房公积金；</w:t>
      </w:r>
      <w:r>
        <w:rPr>
          <w:rFonts w:hint="eastAsia" w:ascii="楷体" w:hAnsi="楷体" w:eastAsia="楷体" w:cs="楷体"/>
          <w:b/>
          <w:bCs/>
          <w:color w:val="666666"/>
          <w:kern w:val="0"/>
          <w:sz w:val="27"/>
          <w:szCs w:val="27"/>
          <w:shd w:val="clear" w:color="auto" w:fill="FFFFFF"/>
          <w:lang w:eastAsia="zh-CN"/>
        </w:rPr>
        <w:t>商品和服务支出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7.4万元，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主要包括：办公费、印刷费、水费、电费、差旅费、福利费。</w:t>
      </w:r>
    </w:p>
    <w:p>
      <w:pPr>
        <w:widowControl/>
        <w:spacing w:before="300"/>
        <w:jc w:val="left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七、政府性基金预算支出预算情况说明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我局2021年无使用政府性基金预算拨款安排的支出。</w:t>
      </w:r>
    </w:p>
    <w:p>
      <w:pPr>
        <w:widowControl/>
        <w:spacing w:before="300"/>
        <w:jc w:val="left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 “三公”经费支出预算情况说明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我局2021年“三公”经费预算为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万元。2021年“三公”经费支出预算数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2020年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相比无差异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具体支出情况如下：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（一）因公出国（境）费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0万元，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因公出国（境）组团数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0个，因公出国（境）人数0人次。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主要用于单位工作人员公务出国（境）的住宿费、旅费、伙食补助费、杂费、培训费等支出。预算数比 2020年增加0万元，与2020年相比无差异。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（二）公务用车购置及运行费</w:t>
      </w: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万元，其中，公务用车购置费0万元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，公务用车购置数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0辆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；公务用车运行维护费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公务用车保有辆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0辆。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主要用于开展工作所需公务用车的燃料费、维修费、过路过桥费、保险费、安全奖励费用等支出。公务用车购置费预算数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2020年增加0万元，与2020年相比无差异。公务用车运行维护费预算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 xml:space="preserve"> 2020年增加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万元，与2020年相比无差异。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（三）公务接待费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）国内公务接待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0批次，国内公务接待0人次，其中外事接待0批次，外事接待0人次。（2）国（境）外公务接待0批次，国（境）外公务接待0人次。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主要用于按规定开支的各类公务接待（含外宾接待）支出。预算数比2020年减少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2020年相比无差异。</w:t>
      </w:r>
    </w:p>
    <w:p>
      <w:pPr>
        <w:widowControl/>
        <w:numPr>
          <w:ilvl w:val="0"/>
          <w:numId w:val="0"/>
        </w:numPr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666666"/>
          <w:kern w:val="0"/>
          <w:sz w:val="27"/>
          <w:szCs w:val="27"/>
          <w:shd w:val="clear" w:color="auto" w:fill="FFFFFF"/>
          <w:lang w:eastAsia="zh-CN"/>
        </w:rPr>
        <w:t>九、</w:t>
      </w:r>
      <w:r>
        <w:rPr>
          <w:rFonts w:hint="eastAsia" w:ascii="楷体" w:hAnsi="楷体" w:eastAsia="楷体" w:cs="楷体"/>
          <w:b/>
          <w:bCs/>
          <w:color w:val="666666"/>
          <w:kern w:val="0"/>
          <w:sz w:val="27"/>
          <w:szCs w:val="27"/>
          <w:shd w:val="clear" w:color="auto" w:fill="FFFFFF"/>
        </w:rPr>
        <w:t>其他重要事项情况说明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（以下情况金额为0的，仍需进行情况说明）</w:t>
      </w:r>
    </w:p>
    <w:p>
      <w:pPr>
        <w:widowControl/>
        <w:numPr>
          <w:ilvl w:val="0"/>
          <w:numId w:val="0"/>
        </w:numPr>
        <w:spacing w:before="300"/>
        <w:jc w:val="left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（一）机关运行经费支出情况</w:t>
      </w:r>
    </w:p>
    <w:p>
      <w:pPr>
        <w:widowControl/>
        <w:numPr>
          <w:ilvl w:val="0"/>
          <w:numId w:val="0"/>
        </w:numPr>
        <w:spacing w:before="300"/>
        <w:ind w:firstLine="270" w:firstLineChars="1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  <w:lang w:eastAsia="zh-CN"/>
        </w:rPr>
        <w:t>罗山县文化广电和旅游</w:t>
      </w:r>
      <w:r>
        <w:rPr>
          <w:rStyle w:val="6"/>
          <w:rFonts w:hint="eastAsia" w:ascii="楷体" w:hAnsi="楷体" w:eastAsia="楷体" w:cs="楷体"/>
          <w:b w:val="0"/>
          <w:bCs/>
          <w:color w:val="666666"/>
          <w:kern w:val="0"/>
          <w:sz w:val="28"/>
          <w:szCs w:val="28"/>
          <w:shd w:val="clear" w:color="auto" w:fill="FFFFFF"/>
        </w:rPr>
        <w:t>局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2021年机关运行经费支出预算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7.4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万元，主要保障机构正常运转及正常履职需要，完成预算年度主要工作任务需要。</w:t>
      </w:r>
    </w:p>
    <w:p>
      <w:pPr>
        <w:widowControl/>
        <w:numPr>
          <w:ilvl w:val="0"/>
          <w:numId w:val="0"/>
        </w:numPr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（二）政府采购支出情况</w:t>
      </w:r>
    </w:p>
    <w:p>
      <w:pPr>
        <w:widowControl/>
        <w:numPr>
          <w:ilvl w:val="0"/>
          <w:numId w:val="0"/>
        </w:numPr>
        <w:spacing w:before="300"/>
        <w:ind w:firstLine="270" w:firstLineChars="1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2021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政府采购预算安排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3.5万元，其中：政府采购货物预算3.5万元主要采购复印机、电脑、空调等货物、政府采购工程预算0万元、政府采购服务预算0万元。</w:t>
      </w:r>
    </w:p>
    <w:p>
      <w:pPr>
        <w:widowControl/>
        <w:numPr>
          <w:ilvl w:val="0"/>
          <w:numId w:val="0"/>
        </w:numPr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（三）绩效目标设置情况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before="300"/>
        <w:ind w:firstLine="540" w:firstLineChars="2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我局2021年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  <w:t>没有重点项目预算，故没有绩效目标说明。</w:t>
      </w:r>
    </w:p>
    <w:p>
      <w:pPr>
        <w:widowControl/>
        <w:numPr>
          <w:ilvl w:val="0"/>
          <w:numId w:val="0"/>
        </w:numPr>
        <w:spacing w:before="300"/>
        <w:jc w:val="left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（四）国有资产占用情况。</w:t>
      </w:r>
    </w:p>
    <w:p>
      <w:pPr>
        <w:widowControl/>
        <w:numPr>
          <w:ilvl w:val="0"/>
          <w:numId w:val="0"/>
        </w:numPr>
        <w:spacing w:before="300"/>
        <w:ind w:firstLine="540" w:firstLineChars="2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2020年期末，我局共有车辆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辆，其中：一般公务用车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辆、一般执法执勤用车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辆、特种专业技术用车0辆，其他用车0辆；单价50万元以上通用设备0台（套），单位价值100万元以上专用设备0台（套）。</w:t>
      </w:r>
    </w:p>
    <w:p>
      <w:pPr>
        <w:widowControl/>
        <w:numPr>
          <w:ilvl w:val="0"/>
          <w:numId w:val="0"/>
        </w:numPr>
        <w:spacing w:before="30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第三部分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color w:val="666666"/>
          <w:szCs w:val="21"/>
        </w:rPr>
      </w:pPr>
      <w:r>
        <w:rPr>
          <w:rStyle w:val="6"/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名词解释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一、财政拨款收入：是指省级财政当年拨付的资金。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二、事业收入：是指事业单位开展专业活动及辅助活动所取 得的收入。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三、其他收入：是指部门取得的除“财政拨款”、“事业收入”、“事业单位经营收入”等以外的收入。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六、项目支出：是指在基本支出之外，为完成特定的行政工作任务或事业发展目标所发生的支出。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p>
      <w:pPr>
        <w:widowControl/>
        <w:spacing w:before="300"/>
        <w:jc w:val="left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附件:</w:t>
      </w:r>
    </w:p>
    <w:p>
      <w:pPr>
        <w:widowControl/>
        <w:spacing w:before="30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t> </w:t>
      </w:r>
    </w:p>
    <w:tbl>
      <w:tblPr>
        <w:tblStyle w:val="4"/>
        <w:tblW w:w="6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6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楷体" w:hAnsi="楷体" w:eastAsia="楷体" w:cs="楷体"/>
                <w:color w:val="2E2E2E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6E6E6E"/>
                <w:sz w:val="18"/>
                <w:szCs w:val="18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" name="图片 1" descr="IMG_25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楷体" w:hAnsi="楷体" w:eastAsia="楷体" w:cs="楷体"/>
                <w:color w:val="2E2E2E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</w:rPr>
              <w:fldChar w:fldCharType="begin"/>
            </w:r>
            <w:r>
              <w:rPr>
                <w:rFonts w:hint="eastAsia" w:ascii="楷体" w:hAnsi="楷体" w:eastAsia="楷体" w:cs="楷体"/>
              </w:rPr>
              <w:instrText xml:space="preserve"> HYPERLINK "http://czj.xinyang.gov.cn/uploads/soft/210707/6-210FG53600.xlsx" \t "http://czj.xinyang.gov.cn/c/392/2021/0707/_blank" </w:instrText>
            </w:r>
            <w:r>
              <w:rPr>
                <w:rFonts w:hint="eastAsia" w:ascii="楷体" w:hAnsi="楷体" w:eastAsia="楷体" w:cs="楷体"/>
              </w:rPr>
              <w:fldChar w:fldCharType="separate"/>
            </w:r>
            <w:r>
              <w:rPr>
                <w:rStyle w:val="7"/>
                <w:rFonts w:hint="eastAsia" w:ascii="楷体" w:hAnsi="楷体" w:eastAsia="楷体" w:cs="楷体"/>
                <w:color w:val="6E6E6E"/>
                <w:sz w:val="18"/>
                <w:szCs w:val="18"/>
              </w:rPr>
              <w:t>2021年</w:t>
            </w:r>
            <w:r>
              <w:rPr>
                <w:rFonts w:hint="eastAsia" w:ascii="楷体" w:hAnsi="楷体" w:eastAsia="楷体" w:cs="楷体"/>
                <w:color w:val="666666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楷体" w:hAnsi="楷体" w:eastAsia="楷体" w:cs="楷体"/>
                <w:b w:val="0"/>
                <w:bCs/>
                <w:color w:val="666666"/>
                <w:kern w:val="0"/>
                <w:sz w:val="20"/>
                <w:szCs w:val="20"/>
                <w:shd w:val="clear" w:color="auto" w:fill="FFFFFF"/>
                <w:lang w:eastAsia="zh-CN"/>
              </w:rPr>
              <w:t>罗山县文化广电和旅游</w:t>
            </w:r>
            <w:r>
              <w:rPr>
                <w:rStyle w:val="6"/>
                <w:rFonts w:hint="eastAsia" w:ascii="楷体" w:hAnsi="楷体" w:eastAsia="楷体" w:cs="楷体"/>
                <w:b w:val="0"/>
                <w:bCs/>
                <w:color w:val="666666"/>
                <w:kern w:val="0"/>
                <w:sz w:val="20"/>
                <w:szCs w:val="20"/>
                <w:shd w:val="clear" w:color="auto" w:fill="FFFFFF"/>
              </w:rPr>
              <w:t>局</w:t>
            </w:r>
            <w:r>
              <w:rPr>
                <w:rStyle w:val="7"/>
                <w:rFonts w:hint="eastAsia" w:ascii="楷体" w:hAnsi="楷体" w:eastAsia="楷体" w:cs="楷体"/>
                <w:color w:val="6E6E6E"/>
                <w:sz w:val="18"/>
                <w:szCs w:val="18"/>
              </w:rPr>
              <w:t>部门预算公开表</w:t>
            </w:r>
            <w:r>
              <w:rPr>
                <w:rStyle w:val="7"/>
                <w:rFonts w:hint="eastAsia" w:ascii="楷体" w:hAnsi="楷体" w:eastAsia="楷体" w:cs="楷体"/>
                <w:color w:val="6E6E6E"/>
                <w:sz w:val="18"/>
                <w:szCs w:val="18"/>
              </w:rPr>
              <w:fldChar w:fldCharType="end"/>
            </w:r>
          </w:p>
        </w:tc>
      </w:tr>
    </w:tbl>
    <w:p>
      <w:pPr>
        <w:widowControl/>
        <w:spacing w:before="300"/>
        <w:jc w:val="left"/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YmYyNmVjZDlhNzhhZTU0MmQ0OGM2MTM2N2RmYWIifQ=="/>
  </w:docVars>
  <w:rsids>
    <w:rsidRoot w:val="58914A84"/>
    <w:rsid w:val="002A1DBF"/>
    <w:rsid w:val="005956C0"/>
    <w:rsid w:val="00A415FD"/>
    <w:rsid w:val="035507D6"/>
    <w:rsid w:val="038B164C"/>
    <w:rsid w:val="062D0CFB"/>
    <w:rsid w:val="06E653F9"/>
    <w:rsid w:val="0C2D47FF"/>
    <w:rsid w:val="0D5E2359"/>
    <w:rsid w:val="0F5D5218"/>
    <w:rsid w:val="15745E34"/>
    <w:rsid w:val="167A6545"/>
    <w:rsid w:val="1E362FAA"/>
    <w:rsid w:val="239E400A"/>
    <w:rsid w:val="27CE26EB"/>
    <w:rsid w:val="29E03BDF"/>
    <w:rsid w:val="2DF510B7"/>
    <w:rsid w:val="2E5D5429"/>
    <w:rsid w:val="35B571E1"/>
    <w:rsid w:val="38BB670D"/>
    <w:rsid w:val="3A2F6894"/>
    <w:rsid w:val="40C14AC0"/>
    <w:rsid w:val="464B1446"/>
    <w:rsid w:val="492B7F00"/>
    <w:rsid w:val="4AA83145"/>
    <w:rsid w:val="526F1941"/>
    <w:rsid w:val="53A919B1"/>
    <w:rsid w:val="58914A84"/>
    <w:rsid w:val="5A512F79"/>
    <w:rsid w:val="60393A9F"/>
    <w:rsid w:val="63402C76"/>
    <w:rsid w:val="6692749F"/>
    <w:rsid w:val="68240149"/>
    <w:rsid w:val="690B6848"/>
    <w:rsid w:val="6B863960"/>
    <w:rsid w:val="6F2069E1"/>
    <w:rsid w:val="71392010"/>
    <w:rsid w:val="71A964C3"/>
    <w:rsid w:val="74E73F04"/>
    <w:rsid w:val="75CF0069"/>
    <w:rsid w:val="778249FA"/>
    <w:rsid w:val="7FF74D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czj.xinyang.gov.cn/uploads/soft/210707/6-210FG53600.xlsx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3756</Words>
  <Characters>3948</Characters>
  <Lines>27</Lines>
  <Paragraphs>7</Paragraphs>
  <TotalTime>16</TotalTime>
  <ScaleCrop>false</ScaleCrop>
  <LinksUpToDate>false</LinksUpToDate>
  <CharactersWithSpaces>3992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春天的故事</cp:lastModifiedBy>
  <cp:lastPrinted>2021-07-14T02:56:00Z</cp:lastPrinted>
  <dcterms:modified xsi:type="dcterms:W3CDTF">2022-09-02T03:34:58Z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A2638BAB10BC4434A4D208EA5929DF84</vt:lpwstr>
  </property>
</Properties>
</file>