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罗山县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环境保护</w:t>
      </w:r>
      <w:r>
        <w:rPr>
          <w:rFonts w:hint="eastAsia" w:asciiTheme="minorEastAsia" w:hAnsiTheme="minorEastAsia" w:cstheme="minorEastAsia"/>
          <w:sz w:val="36"/>
          <w:szCs w:val="36"/>
        </w:rPr>
        <w:t>局关于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罗山县医健集团总院生殖医学科改扩建项目</w:t>
      </w:r>
      <w:r>
        <w:rPr>
          <w:rFonts w:hint="eastAsia" w:asciiTheme="minorEastAsia" w:hAnsiTheme="minorEastAsia" w:cstheme="minorEastAsia"/>
          <w:sz w:val="36"/>
          <w:szCs w:val="36"/>
        </w:rPr>
        <w:t>环境影响评价文件做出</w:t>
      </w:r>
    </w:p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审批意见的公示</w:t>
      </w:r>
    </w:p>
    <w:p>
      <w:pPr>
        <w:ind w:firstLine="420"/>
        <w:rPr>
          <w:rFonts w:hint="default" w:ascii="Times New Roman" w:hAnsi="Times New Roman" w:cs="Times New Roman"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根据建设项目环境影响评价审批程序的有关规定，我局拟对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罗山县医健集团总院生殖医学科改扩建项目</w:t>
      </w:r>
      <w:r>
        <w:rPr>
          <w:rFonts w:hint="default" w:ascii="Times New Roman" w:hAnsi="Times New Roman" w:cs="Times New Roman"/>
          <w:sz w:val="28"/>
          <w:szCs w:val="28"/>
        </w:rPr>
        <w:t>环境影响评价文件进行审查。现将拟审查的环境影响评价文件基本情况予以公示，公示期为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个工作日，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即公示期为202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日-202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日。</w:t>
      </w:r>
      <w:bookmarkStart w:id="0" w:name="_GoBack"/>
      <w:bookmarkEnd w:id="0"/>
    </w:p>
    <w:p>
      <w:pPr>
        <w:ind w:firstLine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联系方式：电话：2178768，传真：2178768，通讯地址：罗山县行政大道28号</w:t>
      </w:r>
    </w:p>
    <w:tbl>
      <w:tblPr>
        <w:tblStyle w:val="9"/>
        <w:tblW w:w="862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罗山县医健集团总院生殖医学科改扩建项目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申请人（单位）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罗山县九龙大道一号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7016" w:type="dxa"/>
            <w:vAlign w:val="center"/>
          </w:tcPr>
          <w:p>
            <w:pPr>
              <w:tabs>
                <w:tab w:val="left" w:pos="1253"/>
              </w:tabs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4642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18237698511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公示期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2022-11-14——2022-11-21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环评报告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拟审报告表</w:t>
            </w:r>
          </w:p>
        </w:tc>
      </w:tr>
    </w:tbl>
    <w:p>
      <w:pPr>
        <w:ind w:firstLine="420"/>
        <w:jc w:val="center"/>
        <w:rPr>
          <w:rFonts w:hint="eastAsia"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9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401"/>
        <w:gridCol w:w="451"/>
        <w:gridCol w:w="488"/>
        <w:gridCol w:w="1149"/>
        <w:gridCol w:w="590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5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主要环境影响及预防或减轻不良环境影响的对象和措施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46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3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罗山县医健集团总院生殖医学科改扩建项目</w:t>
            </w:r>
          </w:p>
        </w:tc>
        <w:tc>
          <w:tcPr>
            <w:tcW w:w="40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罗山县九龙大道一号</w:t>
            </w:r>
          </w:p>
        </w:tc>
        <w:tc>
          <w:tcPr>
            <w:tcW w:w="45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罗山县人民医院</w:t>
            </w:r>
          </w:p>
        </w:tc>
        <w:tc>
          <w:tcPr>
            <w:tcW w:w="488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河南可人科技有限公司</w:t>
            </w:r>
          </w:p>
        </w:tc>
        <w:tc>
          <w:tcPr>
            <w:tcW w:w="114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在院区</w:t>
            </w:r>
            <w:r>
              <w:rPr>
                <w:rFonts w:hint="default" w:ascii="Times New Roman" w:cs="Times New Roman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新建生殖医学科综合楼一栋，</w:t>
            </w: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占地面积1000平方米，</w:t>
            </w:r>
            <w:r>
              <w:rPr>
                <w:rFonts w:hint="default" w:ascii="Times New Roman" w:cs="Times New Roman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建筑面积40</w:t>
            </w: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89.6</w:t>
            </w:r>
            <w:r>
              <w:rPr>
                <w:rFonts w:hint="default" w:ascii="Times New Roman" w:cs="Times New Roman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平方米（1栋/5层），购置设备132台/套。主要建设内容包括：土建、装饰、电气、消防、给排水、暖通等配套设施及设备购置。生殖医学科主要进行辅助生殖技术的诊治，病床共60张（原生殖医学科拥有病床39张，本次扩建21张病床）。</w:t>
            </w:r>
          </w:p>
        </w:tc>
        <w:tc>
          <w:tcPr>
            <w:tcW w:w="5905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施工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期：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废气：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施工期大气污染物主要为建筑拆除、道路运输、物料堆存及土方开挖等产生的扬尘和施工机械、车辆尾气。通过加强施工现场管理，设防风抑尘墙网，配备喷淋、覆盖和围挡等防风抑尘措施、合理布置运输车辆行驶路线，配合有关部门做好施工期间周围道路的交通组织，对燃柴油的大型运输车辆和推土机需安装尾气净化器等，以减少机动车尾气的排放措施等，可以有效减少施工期的大气影响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废水：施工期废水主要有施工废水及施工人员生活污水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。施工废水经临时沉淀池澄清处理后回用于设备清洗和道路降尘，生活污水依托医院现有生活设施处理，不对区域地表水体产生污染影响。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施工期噪声主要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运输车辆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挖掘机、推土机等设备产生的噪声，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加强施工管理，合理安排施工作业时段，尽量远离声环境敏感点，合理规划运输路线及输运时间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等措施后，项目施工期噪声对周围环境的影响不大，且随着施工的结束，施工噪声影响也随之结束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固体废物：施工期固体废物主要为施工过程产生的建筑垃圾、弃土弃渣及施工生活垃圾。建筑垃圾运送至市政部门指定的消纳场地，开挖土方用于院区其他地方需要；生活垃圾经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垃圾桶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收集后定期运至垃圾填埋场处理。经采取以上防治措施后，施工期固体废物对周围环境影响较小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营运期：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废气：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本项目废气主要为污水处理站恶臭和食堂油烟。本项目产生的废水经现有污水处理站处理后，产生的恶臭气体密闭收集，经活性炭吸附后，通过15m高排气筒达标排放。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NH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及臭气浓度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排放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可满足《恶臭污染物排放标准》（GB14554-93）表2限值要求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；本项目建成投运后，烹饪时长会适量增长，食堂油烟及非甲烷总烃排放浓度基本保持不变，排放浓度可以分别满足《餐饮业油烟污染物排放标准》（DB41/1640-2018）表1要求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废水主要包括职工生活污水、住院病人废水，门诊医疗废水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。废水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由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院区现有污水处理站（处理工艺为“格栅+调节池+水解酸化池+接触氧化池+二沉池+氯接触池”）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处理后排入市政污水管网，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入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罗山县污水处理厂进一步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处理。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污水处理站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处理后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废水中污染物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排放浓度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能够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满足《医疗机构水污染物排放标准》（GB18466-2005）预处理标准要求，同时满足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罗山县污水处理厂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进水水质要求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：本项目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噪声源主要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为空调机组、机械通风系统等设备运行时产生的噪声。通过设置减振基础、隔声、距离衰减等措施，可有效降低高噪声源强，预测结果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表明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各厂界昼间噪声可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分别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满足《工业企业厂界环境噪声排放标准》（GB12348-2008）中2类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和4类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标准限值要求。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固体废物：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项目运营期产生的固废包括医疗废物、污水处理站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污泥、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生活垃圾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。医疗废物暂存于医疗废物暂存间，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定期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交有资质单位处置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；污泥定期委托有资质单位抽吸外运处置；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生活垃圾委托环卫部门清运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处理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54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/</w:t>
            </w:r>
          </w:p>
        </w:tc>
      </w:tr>
    </w:tbl>
    <w:p/>
    <w:sectPr>
      <w:pgSz w:w="11906" w:h="16838"/>
      <w:pgMar w:top="1440" w:right="1800" w:bottom="12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43A27C1"/>
    <w:rsid w:val="000A0D11"/>
    <w:rsid w:val="00114AC8"/>
    <w:rsid w:val="001177A7"/>
    <w:rsid w:val="001A139D"/>
    <w:rsid w:val="001D4412"/>
    <w:rsid w:val="001F3451"/>
    <w:rsid w:val="003B5FF4"/>
    <w:rsid w:val="003F3543"/>
    <w:rsid w:val="00400D41"/>
    <w:rsid w:val="004C4B5A"/>
    <w:rsid w:val="00564D06"/>
    <w:rsid w:val="00653CE6"/>
    <w:rsid w:val="006935A4"/>
    <w:rsid w:val="00713DAA"/>
    <w:rsid w:val="00716560"/>
    <w:rsid w:val="00761FFE"/>
    <w:rsid w:val="007C46FF"/>
    <w:rsid w:val="00835A80"/>
    <w:rsid w:val="00862707"/>
    <w:rsid w:val="008672F9"/>
    <w:rsid w:val="00930AC7"/>
    <w:rsid w:val="009D7E6E"/>
    <w:rsid w:val="00A817D6"/>
    <w:rsid w:val="00AB6561"/>
    <w:rsid w:val="00B050D5"/>
    <w:rsid w:val="00C7213B"/>
    <w:rsid w:val="00CC71E2"/>
    <w:rsid w:val="00CF796C"/>
    <w:rsid w:val="00D26D9F"/>
    <w:rsid w:val="00D3685E"/>
    <w:rsid w:val="00D56FC5"/>
    <w:rsid w:val="00E66C75"/>
    <w:rsid w:val="00EB375D"/>
    <w:rsid w:val="00EC4DFA"/>
    <w:rsid w:val="00EF03B6"/>
    <w:rsid w:val="00F35965"/>
    <w:rsid w:val="00F372B7"/>
    <w:rsid w:val="00F7717A"/>
    <w:rsid w:val="00FE2086"/>
    <w:rsid w:val="00FF041B"/>
    <w:rsid w:val="02E63FC8"/>
    <w:rsid w:val="03800300"/>
    <w:rsid w:val="043A27C1"/>
    <w:rsid w:val="057D7AE2"/>
    <w:rsid w:val="07B1522B"/>
    <w:rsid w:val="08E05F03"/>
    <w:rsid w:val="0AB84E5C"/>
    <w:rsid w:val="0E2714DC"/>
    <w:rsid w:val="120223F7"/>
    <w:rsid w:val="160D58B0"/>
    <w:rsid w:val="16D97A9D"/>
    <w:rsid w:val="19CE05F3"/>
    <w:rsid w:val="1D80586B"/>
    <w:rsid w:val="1F3A0B08"/>
    <w:rsid w:val="232A43C0"/>
    <w:rsid w:val="26D62B88"/>
    <w:rsid w:val="26F35BD2"/>
    <w:rsid w:val="277420AE"/>
    <w:rsid w:val="27DA5484"/>
    <w:rsid w:val="280A1260"/>
    <w:rsid w:val="295201CD"/>
    <w:rsid w:val="2AC4030C"/>
    <w:rsid w:val="2B8F6A73"/>
    <w:rsid w:val="2F67535C"/>
    <w:rsid w:val="2FC736C3"/>
    <w:rsid w:val="39DF4537"/>
    <w:rsid w:val="39FE06A4"/>
    <w:rsid w:val="3AFA0647"/>
    <w:rsid w:val="3C2C4A51"/>
    <w:rsid w:val="40116570"/>
    <w:rsid w:val="42164036"/>
    <w:rsid w:val="433C7ACC"/>
    <w:rsid w:val="443F68DF"/>
    <w:rsid w:val="447A08AC"/>
    <w:rsid w:val="46B000CA"/>
    <w:rsid w:val="479E0089"/>
    <w:rsid w:val="4B6C5C1A"/>
    <w:rsid w:val="4CB45972"/>
    <w:rsid w:val="4D466E3C"/>
    <w:rsid w:val="4E211DCE"/>
    <w:rsid w:val="500B0379"/>
    <w:rsid w:val="53795CE4"/>
    <w:rsid w:val="53960EF5"/>
    <w:rsid w:val="55260388"/>
    <w:rsid w:val="5B3F7D02"/>
    <w:rsid w:val="5D5F2784"/>
    <w:rsid w:val="61EB76A8"/>
    <w:rsid w:val="65EB49F4"/>
    <w:rsid w:val="6AF800B4"/>
    <w:rsid w:val="6B6E3085"/>
    <w:rsid w:val="6BB12556"/>
    <w:rsid w:val="6DD0371A"/>
    <w:rsid w:val="70CC1BE0"/>
    <w:rsid w:val="71FF7C70"/>
    <w:rsid w:val="73087C6A"/>
    <w:rsid w:val="746E2003"/>
    <w:rsid w:val="792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4">
    <w:name w:val="Body Text 2_050de59c-084d-4175-9105-ef8c1c28e700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 w:val="2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1659</Words>
  <Characters>1758</Characters>
  <Lines>10</Lines>
  <Paragraphs>2</Paragraphs>
  <TotalTime>15</TotalTime>
  <ScaleCrop>false</ScaleCrop>
  <LinksUpToDate>false</LinksUpToDate>
  <CharactersWithSpaces>1762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正豪</cp:lastModifiedBy>
  <dcterms:modified xsi:type="dcterms:W3CDTF">2022-12-31T08:20:21Z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F5125F30217D467393DFBF5E20959576</vt:lpwstr>
  </property>
</Properties>
</file>