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jc w:val="center"/>
        <w:rPr>
          <w:rFonts w:hint="eastAsia" w:ascii="宋体" w:hAnsi="宋体" w:eastAsia="宋体" w:cs="宋体"/>
          <w:color w:val="000000" w:themeColor="text1"/>
          <w:sz w:val="44"/>
          <w:szCs w:val="44"/>
          <w14:textFill>
            <w14:solidFill>
              <w14:schemeClr w14:val="tx1"/>
            </w14:solidFill>
          </w14:textFill>
        </w:rPr>
      </w:pPr>
      <w:bookmarkStart w:id="1" w:name="_GoBack"/>
      <w:r>
        <w:rPr>
          <w:rFonts w:hint="eastAsia" w:ascii="宋体" w:hAnsi="宋体" w:eastAsia="宋体" w:cs="宋体"/>
          <w:color w:val="000000" w:themeColor="text1"/>
          <w:sz w:val="44"/>
          <w:szCs w:val="44"/>
          <w14:textFill>
            <w14:solidFill>
              <w14:schemeClr w14:val="tx1"/>
            </w14:solidFill>
          </w14:textFill>
        </w:rPr>
        <w:t>罗山县环境保护局关于</w:t>
      </w:r>
      <w:bookmarkStart w:id="0" w:name="_Hlk40788019"/>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罗山县乡镇政府驻地农村生活污水治理项目</w:t>
      </w:r>
      <w:bookmarkEnd w:id="0"/>
      <w:r>
        <w:rPr>
          <w:rFonts w:hint="eastAsia" w:ascii="宋体" w:hAnsi="宋体" w:eastAsia="宋体" w:cs="宋体"/>
          <w:color w:val="000000" w:themeColor="text1"/>
          <w:sz w:val="44"/>
          <w:szCs w:val="44"/>
          <w14:textFill>
            <w14:solidFill>
              <w14:schemeClr w14:val="tx1"/>
            </w14:solidFill>
          </w14:textFill>
        </w:rPr>
        <w:t>环境影响评价文件审批情况决定的公告</w:t>
      </w:r>
      <w:bookmarkEnd w:id="1"/>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6"/>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12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9</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罗山县乡镇政府驻地农村生活污水治理项目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12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9</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12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15</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0"/>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6"/>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罗山县乡镇政府驻地农村生活污水治理项目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napToGrid w:val="0"/>
              <w:spacing w:line="560" w:lineRule="exact"/>
              <w:jc w:val="both"/>
              <w:rPr>
                <w:rFonts w:hint="eastAsia" w:ascii="仿宋" w:hAnsi="仿宋" w:eastAsia="仿宋" w:cs="仿宋"/>
                <w:b w:val="0"/>
                <w:bCs w:val="0"/>
                <w:color w:val="000000"/>
                <w:kern w:val="0"/>
                <w:sz w:val="32"/>
                <w:szCs w:val="32"/>
              </w:rPr>
            </w:pPr>
            <w:r>
              <w:rPr>
                <w:rFonts w:hint="eastAsia" w:ascii="仿宋" w:hAnsi="仿宋" w:eastAsia="仿宋" w:cs="仿宋"/>
                <w:sz w:val="32"/>
                <w:szCs w:val="32"/>
              </w:rPr>
              <w:t>罗山县</w:t>
            </w:r>
            <w:r>
              <w:rPr>
                <w:rFonts w:hint="eastAsia" w:ascii="仿宋" w:hAnsi="仿宋" w:eastAsia="仿宋" w:cs="仿宋"/>
                <w:sz w:val="32"/>
                <w:szCs w:val="32"/>
                <w:lang w:val="en-US" w:eastAsia="zh-CN"/>
              </w:rPr>
              <w:t>宝鑫发展投资</w:t>
            </w:r>
            <w:r>
              <w:rPr>
                <w:rFonts w:hint="eastAsia" w:ascii="仿宋" w:hAnsi="仿宋" w:eastAsia="仿宋" w:cs="仿宋"/>
                <w:sz w:val="32"/>
                <w:szCs w:val="32"/>
              </w:rPr>
              <w:t>有限</w:t>
            </w:r>
            <w:r>
              <w:rPr>
                <w:rFonts w:hint="eastAsia" w:ascii="仿宋" w:hAnsi="仿宋" w:eastAsia="仿宋" w:cs="仿宋"/>
                <w:sz w:val="32"/>
                <w:szCs w:val="32"/>
                <w:lang w:val="en-US" w:eastAsia="zh-CN"/>
              </w:rPr>
              <w:t>责任</w:t>
            </w:r>
            <w:r>
              <w:rPr>
                <w:rFonts w:hint="eastAsia" w:ascii="仿宋" w:hAnsi="仿宋" w:eastAsia="仿宋" w:cs="仿宋"/>
                <w:sz w:val="32"/>
                <w:szCs w:val="32"/>
              </w:rPr>
              <w:t>公司</w:t>
            </w:r>
            <w:r>
              <w:rPr>
                <w:rFonts w:hint="eastAsia" w:ascii="仿宋" w:hAnsi="仿宋" w:eastAsia="仿宋" w:cs="仿宋"/>
                <w:b w:val="0"/>
                <w:bCs w:val="0"/>
                <w:color w:val="000000"/>
                <w:kern w:val="0"/>
                <w:sz w:val="32"/>
                <w:szCs w:val="32"/>
              </w:rPr>
              <w:t>：</w:t>
            </w:r>
          </w:p>
          <w:p>
            <w:pPr>
              <w:spacing w:line="580" w:lineRule="exact"/>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根据我国环保法律、法规和有关政策的规定，对你单位</w:t>
            </w:r>
            <w:r>
              <w:rPr>
                <w:rFonts w:hint="eastAsia" w:ascii="仿宋_GB2312" w:eastAsia="仿宋_GB2312"/>
                <w:sz w:val="32"/>
                <w:szCs w:val="32"/>
                <w:lang w:val="en-US" w:eastAsia="zh-CN"/>
              </w:rPr>
              <w:t>罗山县乡镇政府驻地农村生活污水治理项目</w:t>
            </w:r>
            <w:r>
              <w:rPr>
                <w:rFonts w:hint="eastAsia" w:ascii="仿宋" w:hAnsi="仿宋" w:eastAsia="仿宋" w:cs="仿宋"/>
                <w:b w:val="0"/>
                <w:bCs w:val="0"/>
                <w:color w:val="000000"/>
                <w:kern w:val="0"/>
                <w:sz w:val="32"/>
                <w:szCs w:val="32"/>
              </w:rPr>
              <w:t>环境影响报告表作出以下审批意见：</w:t>
            </w:r>
          </w:p>
          <w:p>
            <w:pPr>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一、该项目</w:t>
            </w:r>
            <w:r>
              <w:rPr>
                <w:rFonts w:hint="eastAsia" w:ascii="仿宋" w:hAnsi="仿宋" w:eastAsia="仿宋" w:cs="仿宋"/>
                <w:sz w:val="32"/>
                <w:szCs w:val="32"/>
              </w:rPr>
              <w:t>建设主要内容及规模</w:t>
            </w:r>
            <w:r>
              <w:rPr>
                <w:rFonts w:hint="eastAsia" w:ascii="仿宋" w:hAnsi="仿宋" w:eastAsia="仿宋" w:cs="仿宋"/>
                <w:sz w:val="32"/>
                <w:szCs w:val="32"/>
                <w:lang w:val="en-US" w:eastAsia="zh-CN"/>
              </w:rPr>
              <w:t>具体为：楠杆镇采用间歇式生物净化池工艺，新建650吨/天一套生活污水处理系统，出水水质达到《城镇污水处理厂污染物排放标准》(GB18918-2002)二级标准，提升改造原有生活污水处理设施，采用间歇式生物净化池+湿地工艺，规模为300吨/天，出水水质达到《农村生活污水处理设施水污染物排放标准》（DB41/1820-2019)三级标准，新建污水管网4200米，疏通管道700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尤店乡采用曝气生物净化塘工艺，建设一套160吨/天生活污水处理系统，出水水质达到《农村生活污水处理设施水污染物排放标准》（DB41/1820-2019)三级标准，采用间歇式生物净化池工艺，新建一套240吨/天生活污水处理系统，出水水质达到《农村生活污水处理设施水污染物排放标准》（DB41/1820-2019)三级标准，新建污水管网3800米，疏通管道700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高店乡采用曝气生物净化塘工艺，新建一套4</w:t>
            </w:r>
            <w:r>
              <w:rPr>
                <w:rFonts w:hint="eastAsia" w:ascii="仿宋_GB2312" w:eastAsia="仿宋_GB2312"/>
                <w:sz w:val="32"/>
                <w:szCs w:val="32"/>
                <w:highlight w:val="none"/>
                <w:lang w:val="en-US" w:eastAsia="zh-CN"/>
              </w:rPr>
              <w:t>00吨/天</w:t>
            </w:r>
            <w:r>
              <w:rPr>
                <w:rFonts w:hint="eastAsia" w:ascii="仿宋_GB2312" w:eastAsia="仿宋_GB2312"/>
                <w:sz w:val="32"/>
                <w:szCs w:val="32"/>
                <w:lang w:val="en-US" w:eastAsia="zh-CN"/>
              </w:rPr>
              <w:t>生活污水处理系统，出水水质达到《农村生活污水处理设施水污染物排放标准》（DB41/1820-2019)一级标准，新建污水管网4600米。</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竹竿镇采用曝气生物净化塘工艺，建设230吨/天一套生活污水处理系统，出水水质达到《农村生活污水处理设施水污染物排放标准》（DB41/1820-2019)三级标准，采用间歇式生物净化池+湿地工艺，新建一套450吨/天生活污水处理系统，出水水质达到《农村生活污水处理设施水污染物排放标准》（DB41/1820-2019)一级标准，新建污水管网7300米，疏通管道8000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东铺镇采用间歇式生物净化池工艺，新建一套300吨/天生活污水处理系统，出水水质达到《农村生活污水处理设施水污染物排放标准》（DB41/1820-2019)三级标准，采用曝气生物净化塘工艺，建设一套150吨/天的生活污水处理系统，出水水质达到《农村生活污水处理设施水污染物排放标准》（DB41/1820-2019)三级标准，新建污水管网3000米，污水明沟加盖板1800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庙仙乡采用曝气生物净化塘工艺，新建一套450吨/天生活污水处理系统，出水水质达到《农村生活污水处理设施水污染物排放标准》（DB41/1820-2019)一级标准，新建污水管网4100米。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莽张镇采用曝气生物净化塘工艺，新建一套300吨/天生活污水处理系统，出水水质达到《农村生活污水处理设施水污染物排放标准》（DB41/1820-2019)三级标准，采用间歇式生物净化池+湿地工艺，新建一套600吨/天生活污水处理系统，出水水质达到《城镇污水处理厂污染物排放标准》(GB18918-2002)一级B标准，新建污水管网2300米，疏通灌溉渠1200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定远乡对原有生活污水处理设施改造提升，采用间歇式生物净化池工艺，规模为550吨/天一套生活污水处理系统，出水水质达到《农村生活污水处理设施水污染物排放标准》（DB41/1820-2019)城镇一级B标准，新建污水管网2800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山店乡对原有生活污水处理设施改造提升，采用间歇式生物净化池工艺，规模为260吨/天一套生活污水处理系统，出水水质达到《农村生活污水处理设施水污染物排放标准》（DB41/1820-2019)城镇一级标准，新建污水管网3000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灵山镇采用间歇式生物净化池工艺，新建一套700吨/天生活污水处理系统，出水水质达到《城镇污水处理厂污染物排放标准》(GB18918-2002)一级B标准，新建污水管网8500米，疏通管道8600米。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周党镇采用间歇式生物净化池工艺，建设一套200吨/天生活污水处理系统，出水水质达到《农村生活污水处理设施水污染物排放标准》（DB41/1820-2019)一级标准，采用间歇式生物净化池工艺，建设1300吨/天一套生活污水处理系统，出水水质达到《城镇污水处理厂污染物排放标准》(GB18918-2002)一级B标准，新建污水管网6800米，疏通管道6500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彭新镇采用间歇式生物净化池工艺，新建一套350吨/天生活污水处理系统，出水水质达到《农村生活污水处理设施水污染物排放标准》（DB41/1820-2019)一级标准，新建污水管网6900米，疏通管道5000米。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潘新镇采用间歇式生物净化池工艺，新建一套350吨/天生活污水处理系统，出水水质达到《农村生活污水处理设施水污染物排放标准》（DB41/1820-2019)一级标准，新建污水管网7700米，疏通管道1800米。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子路镇采用间歇式生物净化池工艺，新建一套450吨/天生活污水处理系统出水水质达到《农村生活污水处理设施水污染物排放标准》（DB41/1820-2019)三级标准，新建污水管网2200米，疏通管道1300米。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青山镇采用间歇式生物净化池工艺，新建一套600吨/天生活污水处理系统，出水水质达到《城镇污水处理厂污染物排放标准》(GB18918-2002)一级B标准，1处人工浮岛，新建污水管网7700米，疏通管道6900米。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铁铺镇采用间歇式生物净化池工艺，新建一套240吨/天生活污水处理系统，出水水质达到《农村生活污水处理设施水污染物排放标准》（DB41/1820-2019)一级标准，新建污水管网8000米。</w:t>
            </w:r>
          </w:p>
          <w:p>
            <w:p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朱堂乡采用间歇式生物净化池，新建一套450吨/天生活污水处理系统，出水水质达到《农村生活污水处理设施水污染物排放标准》（DB41/1820-2019)一级标准，新建污水管网7700米，疏通管道8200米。</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应向社会公众主动公开已经批准的《报告表》，并接受相关方咨询。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三、项目建设中必须按照批复的要求，严格执行环境保护设施与主体工程同时投入使用的环保“三同时”制度，重点作好以下方面：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pStyle w:val="8"/>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2"/>
                <w:szCs w:val="32"/>
                <w:highlight w:val="none"/>
                <w:u w:val="none"/>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2、严格落实评价提出的废水、废气、噪声、固废等污染防治措施，在达标排放的基础上,尽可能降低废水、废气、噪声、固废对外环境的影响。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、加强环保设施运行、维护管理、确保污染物稳定达标排放。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pStyle w:val="16"/>
              <w:adjustRightInd w:val="0"/>
              <w:snapToGrid w:val="0"/>
              <w:jc w:val="both"/>
              <w:rPr>
                <w:rFonts w:hint="eastAsia" w:asciiTheme="minorEastAsia" w:hAnsiTheme="minorEastAsia" w:cstheme="minorEastAsia"/>
                <w:color w:val="000000" w:themeColor="text1"/>
                <w:sz w:val="36"/>
                <w:szCs w:val="36"/>
                <w:lang w:val="en-US" w:eastAsia="zh-CN"/>
                <w14:textFill>
                  <w14:solidFill>
                    <w14:schemeClr w14:val="tx1"/>
                  </w14:solidFill>
                </w14:textFill>
              </w:rPr>
            </w:pPr>
          </w:p>
          <w:p>
            <w:pPr>
              <w:pStyle w:val="16"/>
              <w:adjustRightInd w:val="0"/>
              <w:snapToGrid w:val="0"/>
              <w:jc w:val="both"/>
              <w:rPr>
                <w:rFonts w:hint="eastAsia" w:asciiTheme="minorEastAsia" w:hAnsiTheme="minorEastAsia" w:cstheme="minorEastAsia"/>
                <w:color w:val="000000" w:themeColor="text1"/>
                <w:sz w:val="36"/>
                <w:szCs w:val="36"/>
                <w:lang w:val="en-US" w:eastAsia="zh-CN"/>
                <w14:textFill>
                  <w14:solidFill>
                    <w14:schemeClr w14:val="tx1"/>
                  </w14:solidFill>
                </w14:textFill>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1782C0F"/>
    <w:rsid w:val="340721B8"/>
    <w:rsid w:val="34152B6E"/>
    <w:rsid w:val="36DB387B"/>
    <w:rsid w:val="372323C3"/>
    <w:rsid w:val="395C50A1"/>
    <w:rsid w:val="3B56227A"/>
    <w:rsid w:val="3F5462D9"/>
    <w:rsid w:val="400C0207"/>
    <w:rsid w:val="46226691"/>
    <w:rsid w:val="46CD30A9"/>
    <w:rsid w:val="48B7590D"/>
    <w:rsid w:val="4B84621D"/>
    <w:rsid w:val="4BE336E8"/>
    <w:rsid w:val="4D4070A5"/>
    <w:rsid w:val="539D49A1"/>
    <w:rsid w:val="588E6E88"/>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jc w:val="center"/>
      <w:outlineLvl w:val="0"/>
    </w:pPr>
    <w:rPr>
      <w:rFonts w:ascii="Calibri" w:hAnsi="Calibri" w:eastAsia="宋体"/>
      <w:b/>
      <w:kern w:val="44"/>
      <w:sz w:val="36"/>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customStyle="1" w:styleId="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5"/>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样式 首行缩进:  2 字符"/>
    <w:basedOn w:val="1"/>
    <w:qFormat/>
    <w:uiPriority w:val="0"/>
    <w:pPr>
      <w:ind w:firstLine="560"/>
      <w:jc w:val="left"/>
    </w:pPr>
    <w:rPr>
      <w:rFonts w:eastAsia="Times New Roman" w:cs="宋体"/>
      <w:sz w:val="28"/>
      <w:szCs w:val="20"/>
    </w:rPr>
  </w:style>
  <w:style w:type="paragraph" w:customStyle="1" w:styleId="15">
    <w:name w:val="0正文"/>
    <w:basedOn w:val="1"/>
    <w:qFormat/>
    <w:uiPriority w:val="0"/>
    <w:pPr>
      <w:spacing w:line="420" w:lineRule="exact"/>
      <w:ind w:firstLine="200" w:firstLineChars="200"/>
    </w:pPr>
    <w:rPr>
      <w:rFonts w:ascii="Times New Roman" w:hAnsi="Times New Roman"/>
    </w:rPr>
  </w:style>
  <w:style w:type="paragraph" w:customStyle="1" w:styleId="16">
    <w:name w:val="表格填充内容"/>
    <w:basedOn w:val="4"/>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1771</Words>
  <Characters>1859</Characters>
  <Lines>9</Lines>
  <Paragraphs>2</Paragraphs>
  <TotalTime>0</TotalTime>
  <ScaleCrop>false</ScaleCrop>
  <LinksUpToDate>false</LinksUpToDate>
  <CharactersWithSpaces>1876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2022-12-31T08:31:20Z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A067A1C653794E9A9E169A05B12C9CD3</vt:lpwstr>
  </property>
</Properties>
</file>