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 w:line="224" w:lineRule="auto"/>
        <w:rPr>
          <w:rFonts w:hint="default" w:ascii="Times New Roman" w:hAnsi="Times New Roman" w:eastAsia="黑体" w:cs="Times New Roman"/>
          <w:sz w:val="32"/>
          <w:szCs w:val="32"/>
          <w:lang w:eastAsia="zh-CN"/>
        </w:rPr>
      </w:pPr>
      <w:r>
        <w:rPr>
          <w:rFonts w:hint="default" w:ascii="Times New Roman" w:hAnsi="Times New Roman" w:eastAsia="黑体" w:cs="Times New Roman"/>
          <w:spacing w:val="15"/>
          <w:sz w:val="32"/>
          <w:szCs w:val="32"/>
        </w:rPr>
        <w:t>附件</w:t>
      </w:r>
      <w:r>
        <w:rPr>
          <w:rFonts w:hint="default" w:ascii="Times New Roman" w:hAnsi="Times New Roman" w:eastAsia="黑体" w:cs="Times New Roman"/>
          <w:spacing w:val="15"/>
          <w:sz w:val="32"/>
          <w:szCs w:val="32"/>
          <w:lang w:val="en-US" w:eastAsia="zh-CN"/>
        </w:rPr>
        <w:t>1</w:t>
      </w:r>
    </w:p>
    <w:p>
      <w:pPr>
        <w:spacing w:before="168" w:line="219" w:lineRule="auto"/>
        <w:jc w:val="center"/>
        <w:rPr>
          <w:rFonts w:hint="default" w:ascii="Times New Roman" w:hAnsi="Times New Roman" w:eastAsia="方正小标宋简体" w:cs="Times New Roman"/>
          <w:b w:val="0"/>
          <w:bCs w:val="0"/>
          <w:spacing w:val="26"/>
          <w:sz w:val="44"/>
          <w:szCs w:val="44"/>
        </w:rPr>
      </w:pPr>
      <w:r>
        <w:rPr>
          <w:rFonts w:hint="default" w:ascii="Times New Roman" w:hAnsi="Times New Roman" w:eastAsia="方正小标宋简体" w:cs="Times New Roman"/>
          <w:b w:val="0"/>
          <w:bCs w:val="0"/>
          <w:spacing w:val="26"/>
          <w:sz w:val="44"/>
          <w:szCs w:val="44"/>
        </w:rPr>
        <w:t>新增的行政职权目录(共8</w:t>
      </w:r>
      <w:r>
        <w:rPr>
          <w:rFonts w:hint="default" w:ascii="Times New Roman" w:hAnsi="Times New Roman" w:eastAsia="方正小标宋简体" w:cs="Times New Roman"/>
          <w:b w:val="0"/>
          <w:bCs w:val="0"/>
          <w:spacing w:val="26"/>
          <w:sz w:val="44"/>
          <w:szCs w:val="44"/>
          <w:lang w:val="en-US" w:eastAsia="zh-CN"/>
        </w:rPr>
        <w:t>6</w:t>
      </w:r>
      <w:r>
        <w:rPr>
          <w:rFonts w:hint="default" w:ascii="Times New Roman" w:hAnsi="Times New Roman" w:eastAsia="方正小标宋简体" w:cs="Times New Roman"/>
          <w:b w:val="0"/>
          <w:bCs w:val="0"/>
          <w:spacing w:val="26"/>
          <w:sz w:val="44"/>
          <w:szCs w:val="44"/>
        </w:rPr>
        <w:t>项)</w:t>
      </w:r>
    </w:p>
    <w:tbl>
      <w:tblPr>
        <w:tblStyle w:val="5"/>
        <w:tblpPr w:leftFromText="180" w:rightFromText="180" w:vertAnchor="text" w:horzAnchor="page" w:tblpXSpec="center" w:tblpY="684"/>
        <w:tblOverlap w:val="never"/>
        <w:tblW w:w="10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211"/>
        <w:gridCol w:w="711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序号</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职权总类及数量</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行政职权名称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罗山县发展和改革委员会（共3项）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行政许可共3项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坡耕地水土流失治理工程项目审批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不跨县（市）的独立选址的高速公路附属设施（含独立选址的高速公路互通式立交、连接线、服务区、收费站）项目审批（核准）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非跨县（市）110千伏及以下和产业集聚区局域电网220千伏电网项目核准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罗山县教育体育局（共8项）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行政处罚共2项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对未经审批经营高危险性体育项目的行政处罚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对取得许可证后不再符合条件仍经营的行政处罚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其他行政权力共6项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both"/>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全民健身设施改变用途批准</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全民健身设施拆迁批准</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对公共体育设施的监管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对临时占用公共体育场馆设施的监管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iCs/>
                <w:color w:val="000000"/>
                <w:sz w:val="22"/>
                <w:szCs w:val="22"/>
                <w:u w:val="none"/>
              </w:rPr>
            </w:pPr>
            <w:r>
              <w:rPr>
                <w:rFonts w:hint="eastAsia" w:ascii="方正仿宋_GBK" w:hAnsi="方正仿宋_GBK" w:eastAsia="方正仿宋_GBK" w:cs="方正仿宋_GBK"/>
                <w:i/>
                <w:iCs/>
                <w:snapToGrid w:val="0"/>
                <w:color w:val="000000"/>
                <w:kern w:val="0"/>
                <w:sz w:val="22"/>
                <w:szCs w:val="22"/>
                <w:u w:val="none"/>
                <w:lang w:val="en-US" w:eastAsia="zh-CN" w:bidi="ar"/>
              </w:rPr>
              <w:t xml:space="preserve">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对公共体育设施违法拆除或者改变功能、用途的监管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6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对拆除公共文化体育设施或者改变功能、用途的审核</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罗山县科学技术和工业信息化局（共4项）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其他行政权力共4项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市级科技企业孵化器备案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市级众创空间备案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省级中试基地建设审核推荐</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省级制造业高质量发展专项资金项目申报</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罗山县公安局（共15项）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行政许可共9项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驾驶证异地受理（限C类及以下驾驶证）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退伍人员持军队、武装警察部队机动车驾驶证申领（限C类及以下驾驶证）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现役人员持军队、武装警察部队机动车驾驶证申领（限C类及以下驾驶证）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机动车身颜色变更登记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驾驶证注销（本辖区档案编号的驾驶证）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6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AB类转入换证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7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机动车登记（转出恢复）</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8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机动车登记（流水退办）</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机动车登记（流水修改）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行政确认共2项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剧毒化学品存放场所技术防范系统验收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放射源存放场所技术防范系统验收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行政奖励共3项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对检举违反枪支管理犯罪活动有功的人员的奖励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对举报违反民用爆炸物品安全管理规定行为的人员的奖励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对废旧金属收购者协助公安机关查获违法犯罪分子的奖励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六合一系统录入路口路段权限</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罗山县司法局（共4项）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行政处罚共4项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由设区的市级人民政府司法行政部门行使的对律师下列行为的处罚：（1）同时在两个以上律师事务所执业的；（2）以不正当手段承揽业务的；（3）在同一案件中为双方当事人担任代理人，或者代理与本人及其近亲属有利益冲突的法律事务的；（4）从人民法院、人民检察院离任后二年内担任诉讼代理人或者辩护人的；（5）拒绝履行法律援助义务的。</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由设区的市级人民政府司法行政部门行使的对律师下列行为的处罚：（1）私自接受委托、收取费用，接受委托人财物或者其他利益的；（2）接受委托后，无正当理由，拒绝辩护或者代理，不按时出庭参加诉讼或者仲裁的；（3）利用提供法律服务的便利牟取当事人争议的权益的；（4）泄露商业秘密或者个人隐私的。</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由设区的市级人民政府司法行政部门行使的对律师下列行为的处罚：（1）违反规定会见法官、检察官、仲裁员以及其他有关工作人员，或者以其他不正当方式影响依法办理案件的；（2）向法官、检察官、仲裁员以及其他有关工作人员行贿，介绍贿赂或者指使、诱导当事人行贿的；（3）向司法行政部门提供虚假材料或者有其他弄虚作假行为的；（4）故意提供虚假证据或者威胁、利诱他人提供虚假证据，妨碍对方当事人合法取得证据的；（5）接受对方当事人财物或者其他利益，与对方当事人或者第三人恶意串通，侵害委托人权益的；（6）扰乱法庭、仲裁庭秩序，干扰诉讼、仲裁活动的正常进行的；（7）煽动、教唆当事人采取扰乱公共秩序、危害公共安全等非法手段解决争议的；（8）发表危害国家安全、恶意诽谤他人、严重扰乱法庭秩序的言论的；（9）泄露国家秘密的。</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由设区的市级人民政府司法行政部门行使的对律师事务所下列行为的处罚：（1）违反规定接受委托、收取费用的；（2）违反法定程序办理变更名称、负责人、章程、合伙协议、住所、合伙人等重大事项的；（3）从事法律服务以外的经营活动的；（4）以诋毁其他律师事务所、律师或者支付介绍我等不正当手段承揽业务的；（5）违反规定接受有利益冲突的案件的；（6）拒绝履行法律援助义务的；（7）向司法行政部门提供虚假材料或者有其他弄虚作假行为的；（8）对本所律师疏于管理，造成严重后果的；（9）对分所及其律师疏于管理，造成严重后果的。</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罗山县人力资源和社会保障局（共2项）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人力资源服务许可</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培训层次为中级（四级）的民办职业培训学校设立、分立、合并、变更及终止审批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罗山县自然资源局（共1项）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土地开垦区内开发未确定使用权的国有土地从事生产审查（一次性开发二百公顷以上四百公顷以下的）</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罗山县住房和城乡建设局（共2项）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建筑施工特种作业人员资格认定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建筑施工企业主要负责人、项目负责人、专职安全生产管理人员安全生产考核合格证认定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罗山县交通运输局（共17项）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行政许可共6项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水运建设项目竣工验收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船舶进入或者穿越禁航区审批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公路建设项目竣工验收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水上水下活动许可</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iCs/>
                <w:color w:val="000000"/>
                <w:sz w:val="22"/>
                <w:szCs w:val="22"/>
                <w:u w:val="none"/>
              </w:rPr>
            </w:pPr>
            <w:r>
              <w:rPr>
                <w:rFonts w:hint="eastAsia" w:ascii="方正仿宋_GBK" w:hAnsi="方正仿宋_GBK" w:eastAsia="方正仿宋_GBK" w:cs="方正仿宋_GBK"/>
                <w:i/>
                <w:iCs/>
                <w:snapToGrid w:val="0"/>
                <w:color w:val="000000"/>
                <w:kern w:val="0"/>
                <w:sz w:val="22"/>
                <w:szCs w:val="22"/>
                <w:u w:val="none"/>
                <w:lang w:val="en-US" w:eastAsia="zh-CN" w:bidi="ar"/>
              </w:rPr>
              <w:t xml:space="preserve">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公路建设项目施工许可</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6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县际道路旅客运输经营许可</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行政检查共3项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对水路运输辅助业实施监督检查</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对水路运输市场实施监督检查</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对有违反水上交通安全和防治船舶污染水域法律、行政法规行为船员的检查</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行政确认共1项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公路施工作业验收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其他行政权力共7项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内河通航水域安全作业备案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船舶文书签注（《航海（行）日志》《轮机日志》《车钟记录簿》《垃圾记录簿》《货物记录簿》《油类记录簿》《货物系固手册》）</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通航水域禁航区、交通管制区、锚地和安全作业区划定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公路、单独的桥梁和隧道建设项目交工验收备案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iCs/>
                <w:color w:val="000000"/>
                <w:sz w:val="22"/>
                <w:szCs w:val="22"/>
                <w:u w:val="none"/>
              </w:rPr>
            </w:pPr>
            <w:r>
              <w:rPr>
                <w:rFonts w:hint="eastAsia" w:ascii="方正仿宋_GBK" w:hAnsi="方正仿宋_GBK" w:eastAsia="方正仿宋_GBK" w:cs="方正仿宋_GBK"/>
                <w:i/>
                <w:iCs/>
                <w:snapToGrid w:val="0"/>
                <w:color w:val="000000"/>
                <w:kern w:val="0"/>
                <w:sz w:val="22"/>
                <w:szCs w:val="22"/>
                <w:u w:val="none"/>
                <w:lang w:val="en-US" w:eastAsia="zh-CN" w:bidi="ar"/>
              </w:rPr>
              <w:t xml:space="preserve">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交通工程建设项目招投标备案（高速公路、国道干线公路除外）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6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公路工程质量监督手续办理</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7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城乡道路客运成品油价格补助申报审核</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罗山县水利局（共9项）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生产建设项目水土保持方案审批（跨县〔市、区）行政区域的生产建设项目水土保持方案审批除外）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河道采砂许可（省辖市水行政主管部门直管的河道〔水库）和县〔市、区）以河为界上下游三公里河段的采砂许可除外）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行政处罚共2项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未经批准或者不按河道主管机关的规定，在河道管理范围内从事爆破、考古、挖筑鱼塘、在河道滩地存放物料、钻探、开采地下资源等行为的处罚（省辖市直接管理的河道〔水库）管理范围内的特定活动的处罚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对单位/个人违反法律、法规取用水行为的处罚（省辖市水行政主管部门管理的单位/个人违反法律、法规取用水行为的处罚除外）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其他行政权力共5项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生产建设项目水土保持设施自主验收报备（跨县〔市、区）行政区域生产建设项目水土保持设施自主验收报备除外）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大中型灌区续建配套与节水改造项目审批（省辖市水行政主管部门管理的大中型灌区除外）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水土保持生态建设项目实施方案及重大变更的审查批复</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水土保持生态建设项目竣工验收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iCs/>
                <w:color w:val="000000"/>
                <w:sz w:val="22"/>
                <w:szCs w:val="22"/>
                <w:u w:val="none"/>
              </w:rPr>
            </w:pPr>
            <w:r>
              <w:rPr>
                <w:rFonts w:hint="eastAsia" w:ascii="方正仿宋_GBK" w:hAnsi="方正仿宋_GBK" w:eastAsia="方正仿宋_GBK" w:cs="方正仿宋_GBK"/>
                <w:i/>
                <w:iCs/>
                <w:snapToGrid w:val="0"/>
                <w:color w:val="000000"/>
                <w:kern w:val="0"/>
                <w:sz w:val="22"/>
                <w:szCs w:val="22"/>
                <w:u w:val="none"/>
                <w:lang w:val="en-US" w:eastAsia="zh-CN" w:bidi="ar"/>
              </w:rPr>
              <w:t xml:space="preserve">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小型水库工程设施维修养护项目实施方案审批（省辖市水行政主管部门直管的小型水库除外）</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罗山县农业农村局（共4项）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其他行政权力共5项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路区作业中介服务组织备案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植物检疫备案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无植物检疫性有害生物的种苗繁育基地、母树林基地审核</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工商企业等社会资本通过流转取得土地经营权审批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罗山县商务局（共6项）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行政处罚共2项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对外国投资者或者外商投资企业未按照《外商投资信息报告办法》要求报送投资信息，且在商务主管部门通知后未按照本办法予以补报或者更正的行为的处罚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规模发卡企业、集团发卡企业和品牌发卡企业未按规定在开展单用途卡业务之日起30日内办理备案行为的处罚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行政检查共1项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对外国投资者、外商投资企业遵守《外商投资信息报告办法》情况实施监督检查</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其他行政权力共3项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不涉及国家规定实施准入特别管理措施的外国投资者直接或者间接在中国境内进行投资活动，应由外国投资者或者外商投资企业根据《外商投资信息报告办法》向商务主管部门报送投资信息</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对外贸易经营者备案登记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单用途商业预付卡备案登记（规模发卡企业、集团发卡企业和品牌发卡企业）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罗山县文化广电和旅游局（共7项）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行政许可共5项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导游证核发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snapToGrid w:val="0"/>
                <w:color w:val="000000"/>
                <w:kern w:val="0"/>
                <w:sz w:val="22"/>
                <w:szCs w:val="22"/>
                <w:u w:val="none"/>
                <w:lang w:val="en-US" w:eastAsia="zh-CN" w:bidi="ar"/>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导游证补发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snapToGrid w:val="0"/>
                <w:color w:val="000000"/>
                <w:kern w:val="0"/>
                <w:sz w:val="22"/>
                <w:szCs w:val="22"/>
                <w:u w:val="none"/>
                <w:lang w:val="en-US" w:eastAsia="zh-CN" w:bidi="ar"/>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导游证换发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snapToGrid w:val="0"/>
                <w:color w:val="000000"/>
                <w:kern w:val="0"/>
                <w:sz w:val="22"/>
                <w:szCs w:val="22"/>
                <w:u w:val="none"/>
                <w:lang w:val="en-US" w:eastAsia="zh-CN" w:bidi="ar"/>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利用市级文物保护单位举办大型活动审批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snapToGrid w:val="0"/>
                <w:color w:val="000000"/>
                <w:kern w:val="0"/>
                <w:sz w:val="22"/>
                <w:szCs w:val="22"/>
                <w:u w:val="none"/>
                <w:lang w:val="en-US" w:eastAsia="zh-CN" w:bidi="ar"/>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广播电视节目制作经营单位设立审核</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4"/>
                <w:szCs w:val="24"/>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非国有市级文物保护单位不可移动文物转让、抵押或者改变用途备案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博物馆处理不够入藏标准、无保存价值的文物或者标本初审</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罗山县市场监督管理局（共1项）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其他行政权力共1项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医疗器械网络销售备案</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罗山县林业和茶产业局（共2项）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行政许可共2项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林草种子（除林木良种籽粒、穗条等繁殖材料，主要草种杂交种子及其亲本种子、常规原种种子外）生产经营许可核发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林业植物检疫证书核发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0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b/>
                <w:bCs/>
                <w:i w:val="0"/>
                <w:iCs w:val="0"/>
                <w:color w:val="000000"/>
                <w:sz w:val="26"/>
                <w:szCs w:val="26"/>
                <w:u w:val="none"/>
              </w:rPr>
            </w:pPr>
            <w:r>
              <w:rPr>
                <w:rFonts w:hint="eastAsia" w:ascii="方正仿宋_GBK" w:hAnsi="方正仿宋_GBK" w:eastAsia="方正仿宋_GBK" w:cs="方正仿宋_GBK"/>
                <w:b/>
                <w:bCs/>
                <w:i w:val="0"/>
                <w:iCs w:val="0"/>
                <w:snapToGrid w:val="0"/>
                <w:color w:val="000000"/>
                <w:kern w:val="0"/>
                <w:sz w:val="26"/>
                <w:szCs w:val="26"/>
                <w:u w:val="none"/>
                <w:lang w:val="en-US" w:eastAsia="zh-CN" w:bidi="ar"/>
              </w:rPr>
              <w:t>罗山县卫生健康委员会（共1项）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top"/>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行政确认共1项</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i w:val="0"/>
                <w:iCs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snapToGrid w:val="0"/>
                <w:color w:val="000000"/>
                <w:kern w:val="0"/>
                <w:sz w:val="22"/>
                <w:szCs w:val="22"/>
                <w:u w:val="none"/>
                <w:lang w:val="en-US" w:eastAsia="zh-CN" w:bidi="ar"/>
              </w:rPr>
              <w:t xml:space="preserve">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val="0"/>
              <w:topLinePunct w:val="0"/>
              <w:autoSpaceDE w:val="0"/>
              <w:autoSpaceDN w:val="0"/>
              <w:bidi w:val="0"/>
              <w:adjustRightInd w:val="0"/>
              <w:snapToGrid w:val="0"/>
              <w:jc w:val="left"/>
              <w:rPr>
                <w:rFonts w:hint="eastAsia" w:ascii="方正仿宋_GBK" w:hAnsi="方正仿宋_GBK" w:eastAsia="方正仿宋_GBK" w:cs="方正仿宋_GBK"/>
                <w:b/>
                <w:bCs/>
                <w:i w:val="0"/>
                <w:iCs w:val="0"/>
                <w:color w:val="000000"/>
                <w:sz w:val="24"/>
                <w:szCs w:val="24"/>
                <w:u w:val="none"/>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病残儿医学鉴定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仿宋_GBK" w:hAnsi="方正仿宋_GBK" w:eastAsia="方正仿宋_GBK" w:cs="方正仿宋_GBK"/>
                <w:i w:val="0"/>
                <w:iCs w:val="0"/>
                <w:color w:val="000000"/>
                <w:sz w:val="22"/>
                <w:szCs w:val="22"/>
                <w:u w:val="none"/>
              </w:rPr>
            </w:pPr>
          </w:p>
        </w:tc>
      </w:tr>
    </w:tbl>
    <w:p>
      <w:pPr>
        <w:rPr>
          <w:rFonts w:hint="default" w:ascii="Times New Roman" w:hAnsi="Times New Roman" w:cs="Times New Roman"/>
          <w:lang w:val="en-US" w:eastAsia="zh-CN"/>
        </w:rPr>
      </w:pPr>
      <w:bookmarkStart w:id="0" w:name="_GoBack"/>
      <w:bookmarkEnd w:id="0"/>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9"/>
      <w:rPr>
        <w:rFonts w:ascii="宋体" w:hAnsi="宋体" w:eastAsia="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NWNkYTc2YjkwOWVkYzYwMDY1MDNkYjJmZDUxODgifQ=="/>
  </w:docVars>
  <w:rsids>
    <w:rsidRoot w:val="00000000"/>
    <w:rsid w:val="18ED6A14"/>
    <w:rsid w:val="19BF11B4"/>
    <w:rsid w:val="269A3E32"/>
    <w:rsid w:val="295840F8"/>
    <w:rsid w:val="2A4655C3"/>
    <w:rsid w:val="30D52A4B"/>
    <w:rsid w:val="3D240300"/>
    <w:rsid w:val="3E923249"/>
    <w:rsid w:val="3FBFF2A7"/>
    <w:rsid w:val="45EE52ED"/>
    <w:rsid w:val="4BF600E0"/>
    <w:rsid w:val="53D004E8"/>
    <w:rsid w:val="58B96F42"/>
    <w:rsid w:val="59A761B6"/>
    <w:rsid w:val="5F7947AE"/>
    <w:rsid w:val="61803F2A"/>
    <w:rsid w:val="62362568"/>
    <w:rsid w:val="62A80882"/>
    <w:rsid w:val="6FB5F5E0"/>
    <w:rsid w:val="77AB53CC"/>
    <w:rsid w:val="DBBF5B1B"/>
    <w:rsid w:val="E7F5E338"/>
    <w:rsid w:val="E8DE161B"/>
    <w:rsid w:val="EBFFE123"/>
    <w:rsid w:val="EFBD2D27"/>
    <w:rsid w:val="FE63C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font141"/>
    <w:basedOn w:val="6"/>
    <w:qFormat/>
    <w:uiPriority w:val="0"/>
    <w:rPr>
      <w:rFonts w:hint="default" w:ascii="Times New Roman" w:hAnsi="Times New Roman" w:cs="Times New Roman"/>
      <w:b/>
      <w:bCs/>
      <w:color w:val="000000"/>
      <w:sz w:val="42"/>
      <w:szCs w:val="42"/>
      <w:u w:val="none"/>
    </w:rPr>
  </w:style>
  <w:style w:type="character" w:customStyle="1" w:styleId="9">
    <w:name w:val="font61"/>
    <w:basedOn w:val="6"/>
    <w:qFormat/>
    <w:uiPriority w:val="0"/>
    <w:rPr>
      <w:rFonts w:hint="eastAsia" w:ascii="宋体" w:hAnsi="宋体" w:eastAsia="宋体" w:cs="宋体"/>
      <w:b/>
      <w:bCs/>
      <w:color w:val="000000"/>
      <w:sz w:val="42"/>
      <w:szCs w:val="42"/>
      <w:u w:val="none"/>
    </w:rPr>
  </w:style>
  <w:style w:type="character" w:customStyle="1" w:styleId="10">
    <w:name w:val="font151"/>
    <w:basedOn w:val="6"/>
    <w:qFormat/>
    <w:uiPriority w:val="0"/>
    <w:rPr>
      <w:rFonts w:ascii="MingLiU" w:hAnsi="MingLiU" w:eastAsia="MingLiU" w:cs="MingLiU"/>
      <w:b/>
      <w:bCs/>
      <w:color w:val="000000"/>
      <w:sz w:val="24"/>
      <w:szCs w:val="24"/>
      <w:u w:val="none"/>
    </w:rPr>
  </w:style>
  <w:style w:type="character" w:customStyle="1" w:styleId="11">
    <w:name w:val="font51"/>
    <w:basedOn w:val="6"/>
    <w:qFormat/>
    <w:uiPriority w:val="0"/>
    <w:rPr>
      <w:rFonts w:hint="eastAsia" w:ascii="宋体" w:hAnsi="宋体" w:eastAsia="宋体" w:cs="宋体"/>
      <w:b/>
      <w:bCs/>
      <w:color w:val="000000"/>
      <w:sz w:val="24"/>
      <w:szCs w:val="24"/>
      <w:u w:val="none"/>
    </w:rPr>
  </w:style>
  <w:style w:type="character" w:customStyle="1" w:styleId="12">
    <w:name w:val="font31"/>
    <w:basedOn w:val="6"/>
    <w:qFormat/>
    <w:uiPriority w:val="0"/>
    <w:rPr>
      <w:rFonts w:hint="default" w:ascii="MingLiU" w:hAnsi="MingLiU" w:eastAsia="MingLiU" w:cs="MingLiU"/>
      <w:color w:val="000000"/>
      <w:sz w:val="22"/>
      <w:szCs w:val="22"/>
      <w:u w:val="none"/>
    </w:rPr>
  </w:style>
  <w:style w:type="character" w:customStyle="1" w:styleId="13">
    <w:name w:val="font121"/>
    <w:basedOn w:val="6"/>
    <w:qFormat/>
    <w:uiPriority w:val="0"/>
    <w:rPr>
      <w:rFonts w:hint="eastAsia" w:ascii="宋体" w:hAnsi="宋体" w:eastAsia="宋体" w:cs="宋体"/>
      <w:color w:val="000000"/>
      <w:sz w:val="22"/>
      <w:szCs w:val="22"/>
      <w:u w:val="none"/>
    </w:rPr>
  </w:style>
  <w:style w:type="character" w:customStyle="1" w:styleId="14">
    <w:name w:val="font131"/>
    <w:basedOn w:val="6"/>
    <w:qFormat/>
    <w:uiPriority w:val="0"/>
    <w:rPr>
      <w:rFonts w:ascii="MingLiU" w:hAnsi="MingLiU" w:eastAsia="MingLiU" w:cs="MingLiU"/>
      <w:b/>
      <w:bCs/>
      <w:color w:val="000000"/>
      <w:sz w:val="24"/>
      <w:szCs w:val="24"/>
      <w:u w:val="none"/>
    </w:rPr>
  </w:style>
  <w:style w:type="character" w:customStyle="1" w:styleId="15">
    <w:name w:val="font1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3564</Words>
  <Characters>3576</Characters>
  <Lines>0</Lines>
  <Paragraphs>0</Paragraphs>
  <TotalTime>38</TotalTime>
  <ScaleCrop>false</ScaleCrop>
  <LinksUpToDate>false</LinksUpToDate>
  <CharactersWithSpaces>3684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2023-01-05T19:45:00Z</dcterms:created>
  <dc:creator>Lenovo</dc:creator>
  <cp:lastModifiedBy>东君</cp:lastModifiedBy>
  <cp:lastPrinted>2023-01-10T09:41:00Z</cp:lastPrinted>
  <dcterms:modified xsi:type="dcterms:W3CDTF">2023-01-29T07:24:26Z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AE2D0C63618C4F9B8F3D72F1012B127A</vt:lpwstr>
  </property>
</Properties>
</file>