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罗山县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环境保护</w:t>
      </w:r>
      <w:r>
        <w:rPr>
          <w:rFonts w:hint="eastAsia" w:asciiTheme="minorEastAsia" w:hAnsiTheme="minorEastAsia" w:cstheme="minorEastAsia"/>
          <w:sz w:val="36"/>
          <w:szCs w:val="36"/>
        </w:rPr>
        <w:t>局关于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罗山县定远乡集中供水工程建设项目</w:t>
      </w:r>
      <w:r>
        <w:rPr>
          <w:rFonts w:hint="eastAsia" w:asciiTheme="minorEastAsia" w:hAnsiTheme="minorEastAsia" w:cstheme="minorEastAsia"/>
          <w:sz w:val="36"/>
          <w:szCs w:val="36"/>
        </w:rPr>
        <w:t>环境影响评价文件做出</w:t>
      </w:r>
    </w:p>
    <w:p>
      <w:pPr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审批意见的公示</w:t>
      </w:r>
    </w:p>
    <w:p>
      <w:pPr>
        <w:ind w:firstLine="420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根据建设项目环境影响评价审批程序的有关规定，我局拟对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罗山县定远乡集中供水工程建设项目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环境影响评价文件进行审查。现将拟审查的环境影响评价文件基本情况予以公示，公示期为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个工作日，即公示期为202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日-202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日。</w:t>
      </w:r>
    </w:p>
    <w:p>
      <w:pPr>
        <w:ind w:firstLine="420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听证权利告知：依据《中华人民共和国行政许可法》，自公示起五日内申请人、利害关系人可提出听证申请。</w:t>
      </w:r>
    </w:p>
    <w:p>
      <w:pPr>
        <w:ind w:firstLine="420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联系方式：电话：2178768，传真：2178768，通讯地址：罗山县行政大道28号</w:t>
      </w:r>
    </w:p>
    <w:tbl>
      <w:tblPr>
        <w:tblStyle w:val="9"/>
        <w:tblW w:w="8620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7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862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受理编号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受理时间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2023-2-8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罗山县定远乡集中供水工程建设项目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申请人（单位）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罗山县定远乡人民政府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罗山县定远乡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7016" w:type="dxa"/>
            <w:vAlign w:val="center"/>
          </w:tcPr>
          <w:p>
            <w:pPr>
              <w:tabs>
                <w:tab w:val="left" w:pos="1253"/>
              </w:tabs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4642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13673490521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公示期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2023-2-8——2023-2-15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环评报告</w:t>
            </w:r>
          </w:p>
        </w:tc>
        <w:tc>
          <w:tcPr>
            <w:tcW w:w="701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拟审报告表</w:t>
            </w:r>
          </w:p>
        </w:tc>
      </w:tr>
    </w:tbl>
    <w:p>
      <w:pPr>
        <w:ind w:firstLine="420"/>
        <w:jc w:val="center"/>
        <w:rPr>
          <w:rFonts w:hint="eastAsia" w:asciiTheme="minorEastAsia" w:hAnsiTheme="minorEastAsia" w:cstheme="minorEastAsia"/>
          <w:sz w:val="36"/>
          <w:szCs w:val="36"/>
        </w:rPr>
      </w:pPr>
    </w:p>
    <w:p>
      <w:pPr>
        <w:ind w:firstLine="420"/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拟审批的建设项目环境影响报告书（表）</w:t>
      </w:r>
    </w:p>
    <w:tbl>
      <w:tblPr>
        <w:tblStyle w:val="9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439"/>
        <w:gridCol w:w="401"/>
        <w:gridCol w:w="451"/>
        <w:gridCol w:w="488"/>
        <w:gridCol w:w="1149"/>
        <w:gridCol w:w="5905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4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建设地点</w:t>
            </w:r>
          </w:p>
        </w:tc>
        <w:tc>
          <w:tcPr>
            <w:tcW w:w="4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环境影响评价机构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建设项目概况</w:t>
            </w:r>
          </w:p>
        </w:tc>
        <w:tc>
          <w:tcPr>
            <w:tcW w:w="59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主要环境影响及预防或减轻不良环境影响的对象和措施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公众参与情况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462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439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罗山县定远乡集中供水工程建设项目</w:t>
            </w:r>
          </w:p>
        </w:tc>
        <w:tc>
          <w:tcPr>
            <w:tcW w:w="401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罗山县定远乡</w:t>
            </w:r>
          </w:p>
        </w:tc>
        <w:tc>
          <w:tcPr>
            <w:tcW w:w="451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罗山县定远乡人民政府</w:t>
            </w:r>
          </w:p>
        </w:tc>
        <w:tc>
          <w:tcPr>
            <w:tcW w:w="488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郑州玖江环保工程有限公司</w:t>
            </w:r>
          </w:p>
        </w:tc>
        <w:tc>
          <w:tcPr>
            <w:tcW w:w="1149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cs="Times New Roman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项目主要建设内容包括：取水工程、输水工程、水厂新建工程和管网工程，项目建设完成后可满足定远乡用水需求，日供水规模为5000吨，主要供水范围为定远乡乡域内的16个行政村和1个居委会。</w:t>
            </w:r>
          </w:p>
        </w:tc>
        <w:tc>
          <w:tcPr>
            <w:tcW w:w="5905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施工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期：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废气：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为改善项目所在区域环境空气质量，评价建议施工场地采取如下抑尘措施：（1）建设单位应当将防治扬尘污染的费用列入工程造价；（2）施工场地设置围挡，施工区域定时洒水、清扫地面路面；（3）施工区域裸土覆盖，地面硬化，暂时不建设的区域实施绿化；（4）施工场设车辆冲洗设备，车辆出施工区域前清洗车轮，冲洗废水设沉淀池收集回用；（5）施工现场土方尽快回填，临时性堆放的建筑垃圾或土方应采取覆盖防尘布网、定期喷洒抑尘剂或定期喷水等措施防尘，加强物料运输车辆管理；（6）加强施工管理措施；（7）严格落实施工工地“八个百分百”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废水：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施工期生产废水主要来源于施工废水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。对于这些废水建设单位应采取以下措施：（1）在施工场地建设临时导流沟，并在排放口前设置雨水缓冲池，将暴雨径流引至缓冲池充分沉淀后再排放，避免雨水横流现象。（2）设置临时沉淀池。其中设备、车辆冲洗水简单处理后循环使用或用于洒水降尘，禁止此类废水外排；生活污水经化粪池（20m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）处理后用于附近农田肥田。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噪声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施工期噪声主要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源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于机械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设备产生的噪声，施工单位需采取以下措施减轻噪声对敏感点的影响：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①尽量采用低噪声机械设备，并应注意经常对设备进行维修保养；②加强施工管理，合理安排施工作业时段；③应注意合理安排施工物料的运输时间，合理疏导进入施工区的车辆，减速慢行、严禁鸣笛；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④合理安排施工场地，尽量远离声环境敏感点；⑤做好宣传工作；⑥当在敏感点附近施工时，应在敏感点处设置临时声屏障。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固体废物：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对于施工期产生的固体废弃物建设单位应采取以下措施：（1）施工单位在收集、贮存、运输、利用、处置固体废物过程中，必须采取防扬散、防流失、防渗漏或者其他防止污染环境的措施，不得在运输过程中沿途丢弃、撒漏固体废物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（2）工程施工结束后，施工单位应及时组织人力和物力，尽快将工地建筑垃圾及渣土等处置干净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（3）施工人员产生的生活垃圾袋装存放，定期交由环卫部门清理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（4）建筑垃圾收集后外售给相关废品收购企业。运输建筑垃圾时应封闭运输，防止洒落路面，同时运输车辆驶出项目场址应清洗轮胎附着的污泥，减少道路扬尘的产生。</w:t>
            </w:r>
          </w:p>
          <w:p>
            <w:pPr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生态保护措施：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（1）项目填方取土的地方，还须尽快加强地表的绿化植被，以确保因裸露和雨水冲刷而引起水土流失；（2）在工程总体规划中必须考虑工程对生态环境的影响，将生态损失纳入工程预算；在工程勘察、设计、施工过程中，除考虑工程本身高质、高效原则以外，也必须考虑减少生态损失的原则；（3）提高工程施工效率，缩短施工时间，同时采取措施，减少裸地的暴露时间；（4）严格管理施工队伍，对施工人员、施工机械和施工车辆应严格按规定的路线行驶，不得随意破坏非施工区内的地表植被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水土保持措施：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（1）应避开雨季施工，对挖填做到随挖、随运，覆土做到随铺、随压；（2）从设计到施工应注重保护与节约自然资源的原则，尽量减轻生物资源破坏，降低能源消耗，例如避免高填深挖，少取土弃土，适地取材等；（3）保护施工场地及沿线地表植被，采取有效措施降低道路对土地、植被的影响，对临时用地，尽量少占并加强绿化，降低水土流失的可能性；（4）建设单位必须将厂区绿化工程与主体工程同时规划、同时设计、同时投产；（5）主体工程完成后，首先应对工程裸地进行植被恢复，以减少水土流失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运营期：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废气：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项目运营期无废气产生。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废水：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运营期产生的废水主要包括生产废水（反冲洗废水和污泥浓缩压滤废水）和生活污水。反冲洗废水返回网格絮凝池再次利用，不外排；污泥浓缩压滤废水集中收集后用于项目周边绿地灌溉；生活污水经化粪池处理后定期清掏农用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噪声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项目运营期取水泵房内各噪声源经降噪措施处理后，四边界噪声贡献值均满足《工业企业厂界环境噪声排放标准》（GB12348-2008）1类标准的限值要求；净水厂各噪声源经降噪措施处理后，东、南、西、北厂界噪声贡献值均满足《工业企业厂界环境噪声排放标准》（GB12348-2008）1类标准的限值要求；运营期加压泵房内各噪声源经降噪措施处理后，四边界噪声贡献值均满足《工业企业厂界环境噪声排放标准》（GB12348-2008）1类标准的限值要求；叠加背景值后，后塆居民点噪声可以满足《声环境质量标准》（GB3096-2008）1类标准要求。</w:t>
            </w:r>
          </w:p>
          <w:p>
            <w:pPr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固体废物：</w:t>
            </w:r>
            <w:r>
              <w:rPr>
                <w:rFonts w:hint="eastAsia" w:ascii="宋体" w:hAnsi="宋体" w:cs="宋体"/>
                <w:szCs w:val="21"/>
              </w:rPr>
              <w:t>生活垃圾经垃圾收集箱收集后委托环卫部门定期清理；脱水泥饼定期运送至罗山县垃圾填埋场填埋处理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。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生态：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本项目工程地质条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件良好，取水构筑物建在岸坡坡度小、基岩或植被完整的岸处，避免了在波浪冲击和水流冲刷下库岸会遭到破坏而变形，避免取水构筑物受到威胁，不妨碍航运和排洪，满足规划要求，取水区域对水生态影响较小；竹竿河的水质均符合符合《地表水环境质量标准》（GB3838-2002）Ⅲ类水质要求，本项目为管道引水，引水后对下游河段水功能区生态环境基本无影响。</w:t>
            </w:r>
          </w:p>
        </w:tc>
        <w:tc>
          <w:tcPr>
            <w:tcW w:w="545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/</w:t>
            </w:r>
          </w:p>
        </w:tc>
      </w:tr>
    </w:tbl>
    <w:p/>
    <w:sectPr>
      <w:pgSz w:w="11906" w:h="16838"/>
      <w:pgMar w:top="1440" w:right="1800" w:bottom="127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OWFmODIyNWU1MDM1NTYxYThjNThiNjFiZGUwYzQifQ=="/>
  </w:docVars>
  <w:rsids>
    <w:rsidRoot w:val="043A27C1"/>
    <w:rsid w:val="000A0D11"/>
    <w:rsid w:val="00114AC8"/>
    <w:rsid w:val="001177A7"/>
    <w:rsid w:val="001A139D"/>
    <w:rsid w:val="001D4412"/>
    <w:rsid w:val="001F3451"/>
    <w:rsid w:val="003B5FF4"/>
    <w:rsid w:val="003F3543"/>
    <w:rsid w:val="00400D41"/>
    <w:rsid w:val="004C4B5A"/>
    <w:rsid w:val="00564D06"/>
    <w:rsid w:val="00653CE6"/>
    <w:rsid w:val="006935A4"/>
    <w:rsid w:val="00713DAA"/>
    <w:rsid w:val="00716560"/>
    <w:rsid w:val="00761FFE"/>
    <w:rsid w:val="007C46FF"/>
    <w:rsid w:val="00835A80"/>
    <w:rsid w:val="00862707"/>
    <w:rsid w:val="008672F9"/>
    <w:rsid w:val="00930AC7"/>
    <w:rsid w:val="009D7E6E"/>
    <w:rsid w:val="00A817D6"/>
    <w:rsid w:val="00AB6561"/>
    <w:rsid w:val="00B050D5"/>
    <w:rsid w:val="00C7213B"/>
    <w:rsid w:val="00CC71E2"/>
    <w:rsid w:val="00CF796C"/>
    <w:rsid w:val="00D26D9F"/>
    <w:rsid w:val="00D3685E"/>
    <w:rsid w:val="00D56FC5"/>
    <w:rsid w:val="00E66C75"/>
    <w:rsid w:val="00EB375D"/>
    <w:rsid w:val="00EC4DFA"/>
    <w:rsid w:val="00EF03B6"/>
    <w:rsid w:val="00F35965"/>
    <w:rsid w:val="00F372B7"/>
    <w:rsid w:val="00F7717A"/>
    <w:rsid w:val="00FE2086"/>
    <w:rsid w:val="00FF041B"/>
    <w:rsid w:val="02E63FC8"/>
    <w:rsid w:val="03800300"/>
    <w:rsid w:val="043A27C1"/>
    <w:rsid w:val="057D7AE2"/>
    <w:rsid w:val="07B1522B"/>
    <w:rsid w:val="08E05F03"/>
    <w:rsid w:val="0AB84E5C"/>
    <w:rsid w:val="0E2714DC"/>
    <w:rsid w:val="11F54651"/>
    <w:rsid w:val="120223F7"/>
    <w:rsid w:val="160D58B0"/>
    <w:rsid w:val="16262886"/>
    <w:rsid w:val="16D97A9D"/>
    <w:rsid w:val="19CE05F3"/>
    <w:rsid w:val="1D80586B"/>
    <w:rsid w:val="1F3A0B08"/>
    <w:rsid w:val="232A43C0"/>
    <w:rsid w:val="26D62B88"/>
    <w:rsid w:val="26F35BD2"/>
    <w:rsid w:val="277420AE"/>
    <w:rsid w:val="27DA5484"/>
    <w:rsid w:val="280A1260"/>
    <w:rsid w:val="295201CD"/>
    <w:rsid w:val="2AC4030C"/>
    <w:rsid w:val="2B8F6A73"/>
    <w:rsid w:val="2F67535C"/>
    <w:rsid w:val="2FC736C3"/>
    <w:rsid w:val="39DF4537"/>
    <w:rsid w:val="39FE06A4"/>
    <w:rsid w:val="3AFA0647"/>
    <w:rsid w:val="3C2C4A51"/>
    <w:rsid w:val="40116570"/>
    <w:rsid w:val="42164036"/>
    <w:rsid w:val="433C7ACC"/>
    <w:rsid w:val="443F68DF"/>
    <w:rsid w:val="447A08AC"/>
    <w:rsid w:val="46B000CA"/>
    <w:rsid w:val="479E0089"/>
    <w:rsid w:val="4B6C5C1A"/>
    <w:rsid w:val="4CB45972"/>
    <w:rsid w:val="4D466E3C"/>
    <w:rsid w:val="4E211DCE"/>
    <w:rsid w:val="4EAA7491"/>
    <w:rsid w:val="500B0379"/>
    <w:rsid w:val="53795CE4"/>
    <w:rsid w:val="53960EF5"/>
    <w:rsid w:val="55260388"/>
    <w:rsid w:val="5B3F7D02"/>
    <w:rsid w:val="5D5F2784"/>
    <w:rsid w:val="61EB76A8"/>
    <w:rsid w:val="65EB49F4"/>
    <w:rsid w:val="6AF800B4"/>
    <w:rsid w:val="6B6E3085"/>
    <w:rsid w:val="6BB12556"/>
    <w:rsid w:val="6DD0371A"/>
    <w:rsid w:val="70CC1BE0"/>
    <w:rsid w:val="71FF7C70"/>
    <w:rsid w:val="73087C6A"/>
    <w:rsid w:val="746E2003"/>
    <w:rsid w:val="792E3438"/>
    <w:rsid w:val="7A36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widowControl/>
      <w:snapToGrid w:val="0"/>
      <w:spacing w:before="60" w:after="160" w:line="259" w:lineRule="auto"/>
      <w:ind w:right="113"/>
    </w:pPr>
    <w:rPr>
      <w:kern w:val="0"/>
      <w:sz w:val="18"/>
      <w:szCs w:val="20"/>
    </w:rPr>
  </w:style>
  <w:style w:type="paragraph" w:customStyle="1" w:styleId="4">
    <w:name w:val="Body Text 2_050de59c-084d-4175-9105-ef8c1c28e700"/>
    <w:basedOn w:val="1"/>
    <w:qFormat/>
    <w:uiPriority w:val="0"/>
    <w:pPr>
      <w:spacing w:after="120" w:line="480" w:lineRule="auto"/>
    </w:pPr>
  </w:style>
  <w:style w:type="paragraph" w:styleId="5">
    <w:name w:val="Body Text First Indent 2"/>
    <w:basedOn w:val="1"/>
    <w:next w:val="1"/>
    <w:qFormat/>
    <w:uiPriority w:val="0"/>
    <w:pPr>
      <w:spacing w:after="120" w:line="240" w:lineRule="auto"/>
      <w:ind w:left="420" w:leftChars="200" w:firstLine="420" w:firstLineChars="200"/>
    </w:pPr>
    <w:rPr>
      <w:spacing w:val="0"/>
      <w:sz w:val="2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2427</Words>
  <Characters>2551</Characters>
  <Lines>10</Lines>
  <Paragraphs>2</Paragraphs>
  <TotalTime>9</TotalTime>
  <ScaleCrop>false</ScaleCrop>
  <LinksUpToDate>false</LinksUpToDate>
  <CharactersWithSpaces>2555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2019-09-26T07:20:00Z</dcterms:created>
  <dc:creator>zz</dc:creator>
  <cp:lastModifiedBy>正豪</cp:lastModifiedBy>
  <dcterms:modified xsi:type="dcterms:W3CDTF">2023-02-09T02:18:38Z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F0B8E9499189409DA25C120FB107B720</vt:lpwstr>
  </property>
</Properties>
</file>