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Pr="00B705AD" w:rsidRDefault="00A11FFC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202</w:t>
      </w: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2</w:t>
      </w: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年</w:t>
      </w:r>
      <w:r w:rsidR="00B705AD"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度</w:t>
      </w:r>
    </w:p>
    <w:p w:rsidR="00653685" w:rsidRDefault="00A11FFC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罗山县林业和茶产业</w:t>
      </w: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局</w:t>
      </w: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机关</w:t>
      </w:r>
      <w:r w:rsidRPr="00B705AD"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部门预算公开</w:t>
      </w: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Default="00B705AD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</w:pPr>
    </w:p>
    <w:p w:rsidR="00B705AD" w:rsidRPr="00B705AD" w:rsidRDefault="00B705AD" w:rsidP="00B705AD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</w:p>
    <w:p w:rsidR="00653685" w:rsidRDefault="00A11FFC">
      <w:pPr>
        <w:widowControl/>
        <w:shd w:val="clear" w:color="auto" w:fill="FFFFFF"/>
        <w:spacing w:line="240" w:lineRule="atLeast"/>
        <w:ind w:firstLineChars="200" w:firstLine="643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目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 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录</w:t>
      </w:r>
    </w:p>
    <w:p w:rsidR="00653685" w:rsidRDefault="00A11FFC">
      <w:pPr>
        <w:widowControl/>
        <w:shd w:val="clear" w:color="auto" w:fill="FFFFFF"/>
        <w:spacing w:line="240" w:lineRule="atLeast"/>
        <w:jc w:val="left"/>
        <w:rPr>
          <w:rStyle w:val="a5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第一部分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 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罗山县林业和茶产业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局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机关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概况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 w:rsidR="00653685" w:rsidRDefault="00A11FFC" w:rsidP="00B705AD">
      <w:pPr>
        <w:numPr>
          <w:ilvl w:val="0"/>
          <w:numId w:val="1"/>
        </w:numPr>
        <w:ind w:leftChars="204" w:left="959" w:hangingChars="166" w:hanging="531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主要职能</w:t>
      </w:r>
    </w:p>
    <w:p w:rsidR="00B705AD" w:rsidRPr="00B705AD" w:rsidRDefault="00B705AD" w:rsidP="00B705AD">
      <w:pPr>
        <w:pStyle w:val="a7"/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51" w:firstLineChars="0"/>
        <w:jc w:val="left"/>
        <w:rPr>
          <w:rFonts w:asciiTheme="minorEastAsia" w:hAnsiTheme="minorEastAsia" w:cs="黑体"/>
          <w:sz w:val="32"/>
          <w:szCs w:val="32"/>
        </w:rPr>
      </w:pPr>
      <w:r w:rsidRPr="00B705AD">
        <w:rPr>
          <w:rFonts w:asciiTheme="minorEastAsia" w:hAnsiTheme="minorEastAsia" w:cs="黑体" w:hint="eastAsia"/>
          <w:sz w:val="32"/>
          <w:szCs w:val="32"/>
        </w:rPr>
        <w:t>内设机构设置情况</w:t>
      </w:r>
    </w:p>
    <w:p w:rsidR="00653685" w:rsidRPr="00B705AD" w:rsidRDefault="00B705AD" w:rsidP="00B705AD">
      <w:pPr>
        <w:pStyle w:val="a7"/>
        <w:kinsoku w:val="0"/>
        <w:overflowPunct w:val="0"/>
        <w:adjustRightInd w:val="0"/>
        <w:snapToGrid w:val="0"/>
        <w:spacing w:line="360" w:lineRule="auto"/>
        <w:ind w:left="420" w:right="51" w:firstLineChars="0" w:firstLine="0"/>
        <w:jc w:val="left"/>
        <w:rPr>
          <w:rFonts w:asciiTheme="minorEastAsia" w:hAnsiTheme="minorEastAsia" w:cs="黑体"/>
          <w:sz w:val="32"/>
          <w:szCs w:val="32"/>
        </w:rPr>
      </w:pPr>
      <w:r w:rsidRPr="00B705AD">
        <w:rPr>
          <w:rFonts w:asciiTheme="minorEastAsia" w:hAnsiTheme="minorEastAsia" w:cs="黑体" w:hint="eastAsia"/>
          <w:sz w:val="32"/>
          <w:szCs w:val="32"/>
        </w:rPr>
        <w:t>三、部门所属预算单位构成情况</w:t>
      </w:r>
    </w:p>
    <w:p w:rsidR="00653685" w:rsidRDefault="00A11FFC">
      <w:pPr>
        <w:pStyle w:val="1"/>
        <w:numPr>
          <w:ilvl w:val="0"/>
          <w:numId w:val="2"/>
        </w:numPr>
        <w:rPr>
          <w:rStyle w:val="a5"/>
          <w:rFonts w:ascii="宋体" w:eastAsia="宋体" w:hAnsi="宋体" w:cs="宋体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罗山县林业和茶产业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局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机关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202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2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年度部门预算情况说明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 w:themeColor="text1"/>
          <w:spacing w:val="-20"/>
          <w:kern w:val="0"/>
          <w:sz w:val="32"/>
          <w:szCs w:val="32"/>
          <w:shd w:val="clear" w:color="auto" w:fill="FFFFFF"/>
        </w:rPr>
        <w:br/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第三部分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 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名词解释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：罗山县林业和茶产业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局</w:t>
      </w:r>
      <w:r>
        <w:rPr>
          <w:rStyle w:val="a5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机关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Style w:val="a5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年度部门预算表</w:t>
      </w:r>
    </w:p>
    <w:p w:rsidR="00653685" w:rsidRDefault="00A11FFC">
      <w:pPr>
        <w:ind w:leftChars="304" w:left="638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一、部门收支预算表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>
        <w:rPr>
          <w:rFonts w:ascii="宋体" w:eastAsia="宋体" w:hAnsi="宋体" w:cs="宋体" w:hint="eastAsia"/>
          <w:sz w:val="32"/>
          <w:szCs w:val="32"/>
        </w:rPr>
        <w:t>二、部门收入预算表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三、部门支出预算表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四、财政拨款收支预算表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五、一般公共预算支出预算表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六、一般公共预算基本支出预算表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七、支出经济分类汇总表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八、一般公共预算“三公”经费预算表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九、政府性基金支出预算表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十、项目支出预算表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十一、部门整体绩效目标表</w:t>
      </w:r>
    </w:p>
    <w:p w:rsidR="00653685" w:rsidRDefault="00A11FFC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十二、部门预算项目绩效目标表</w:t>
      </w:r>
    </w:p>
    <w:p w:rsidR="00653685" w:rsidRDefault="00A11FFC">
      <w:pPr>
        <w:widowControl/>
        <w:spacing w:before="300" w:line="240" w:lineRule="atLeast"/>
        <w:ind w:firstLineChars="200" w:firstLine="643"/>
        <w:jc w:val="center"/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第一部分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br/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罗山县林业和茶产业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局</w:t>
      </w:r>
      <w:r>
        <w:rPr>
          <w:rStyle w:val="a5"/>
          <w:rFonts w:ascii="宋体" w:eastAsia="宋体" w:hAnsi="宋体" w:cs="宋体" w:hint="eastAsia"/>
          <w:color w:val="000000" w:themeColor="text1"/>
          <w:spacing w:val="-20"/>
          <w:kern w:val="0"/>
          <w:sz w:val="32"/>
          <w:szCs w:val="32"/>
          <w:shd w:val="clear" w:color="auto" w:fill="FFFFFF"/>
        </w:rPr>
        <w:t>机关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概况</w:t>
      </w:r>
    </w:p>
    <w:p w:rsidR="00B705AD" w:rsidRDefault="00B705AD" w:rsidP="00B705AD">
      <w:pPr>
        <w:widowControl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B705AD" w:rsidRPr="00B705AD" w:rsidRDefault="00A11FFC" w:rsidP="00B705AD">
      <w:pPr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一、</w:t>
      </w:r>
      <w:r w:rsidRPr="00B705AD">
        <w:rPr>
          <w:rStyle w:val="a5"/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罗山县林业和茶产业</w:t>
      </w:r>
      <w:r w:rsidRPr="00B705AD">
        <w:rPr>
          <w:rStyle w:val="a5"/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局主要职责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、负责全县林业及其生态保护修复的监督管理。拟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订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全县林业及其生态保护修复的政策、规划、标准并组织实施，起草相关地方标准、规章草案。负责林业相关行政执法监管工作。组织开展森林、湿地、荒漠和陆生野生动植物资源动态监测与评价。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组织林业生态保护修复和造林绿化工作。组织实施林业重点生态保护修复工作，指导公益林和商品林的培育，指导、监督全民义务植树、城乡绿化工作。指导林业有害生物防治、检疫工作。承担林业应对气候变化的相关工作。承担罗山县绿化委员会日常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、承担森林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、湿地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资源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的监督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管理。组织编制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并监督执行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全县森林采伐限额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负责林地管理，拟订林地保护利用规划并组织实施。指导公益林划定和管理工作，管理国有森林资源。负债湿地生态保护修复工作，拟订湿地保护规划和相关地方标准，监督管理湿地的开发利用。指导基层林业工作机构的建设和管理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负责监督管理荒漠化防治工作。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组织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开展荒漠化调查。组织拟订防沙治沙、石漠化防治建设规划，拟订相关地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方标准，监督管理沙化土地的开发利用。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负责陆生野生动植物资源监督管理。组织开展陆生野生动植物资源调查，配合拟订、调整省级重点保护陆生野生动物、植物名录，指导陆生野生动植物的救护繁育、栖息地恢复发展、疫源疫病监测，监督管理陆生野生动植物猎捕或采集、驯养或培植、经营利用，按分工监督管理陆生野生动植物进出口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、负责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监督管理各类自然保护地。拟订各类自然保护地规划和相关地方标准。根据授权，负责国家公园等自然保护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地的自然资源资产管理和国土空间用途管制。组织申报国家级、省级、市级自然保护地，提出新建、调整各类自然保护地的审核建议并按程序报批。组织审核世界自然遗产的申报，会同有关部门审核世界自然和文化双重遗产的申报。负责生物多样性保护有关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负责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推进林业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和茶产业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改革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相关工作。拟订集体林权制度、国有林场等重大改革意见并监督实施。拟订农村林业发展、维护林业和茶产业经营者合法权益的政策措施，指导农村林地承包经营工作。开展退耕还林还草，负责天然林何护工作。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拟订林业资源优化配置及木材利用政策，拟订相关林业和茶产业地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方标准并监督实施，组织指导林业和茶产业产品质量监督。指导生态扶贫相关工作。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9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导国有林场基本建设和发展，承担经济林、花卉管理工作。组织林木种子、茶叶种子种质资源普查，组织建立种质资源库，负责良种选育推广，管理林木种苗、茶叶种苗生产经营行为，监管林木种苗、茶叶种苗质量。监督管理林业生物种质资源、转基因生物安全及植物新品种保护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负责落实综合防灾减灾规划相关要求，组织编制森林火灾防治规划和防护标准并指导实施，指导开展防火巡护、火源管理、防火设施建设等工作。组织指导国有林场和自然保护区开展防火宣传教育、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监测预警、督促检查等工作。依法履行林业和茶产业安全生产监督管理职责，指导全县国有林场、自然保护地的安全监督管理工作。负责林业和茶产业系统安全生产统计分析，依法参加有关事故的调查处理。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负责制定全县林业和茶产业发展规划、发展战略并监督实施；指导全县林业和茶产业生产、加工、新技术引进与推广、招商引资等工作；指导做好林业和茶产业重大项目的规划、调研、论证、评审、申报等工作；负责林业外资项目的管理和资金使用‘负责全县国家公益林、省级公益林的区划界定、日常管理和森林补偿基金的使用管理；负责指导和督促全县退耕还林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工作；负责全县国家储备林项目规划编制、申报、年度作业设计审批，监督和管理项目实施及资金使用；负责对各类龙头企业和知名品牌的评选、申报和管理；完善全县茶叶专业市场体系建设，加强茶叶市场监管，配合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打击制假售假行为；加强对协会、商品会等社团组织的业务管理和指导；负责对罗山茶叶公共品牌的宣传和使用管理；参与筹办信阳茶文化节等有关节会活动；协助建立和完善茶叶相关质量标准管理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体系；协助开发茶文化旅游工作。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、监督管理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中央、省、市拨仁义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县的相关资金、县级资金及国有资产，提出林业和茶产业预算内投资及国家、省级、市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级和县级财政性资金安排建议；拍案规定权限审核国家、省级、市级和县级规划内和年度计划内投资项目。参与拟订林业和茶产业经济调节政策，组织实施林业生态补偿工作。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、负责林业和茶产业科技、教育、外事工作，指导全县林业和茶产业人才队伍建设。组织实施林业和茶产业对外交流与合作事务，承担湿地、防治荒漠化、濒危野生动植物等国际公约履约工作。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茶叶、水果、花卉检疫的职责分工。县林茶局与县农业农村局加强茶叶、水果、花卉等检疫工作的协调配合，在各自职责范围内做好检疫工作，双方检疫结果互相认可，避免重复检疫执法；管理林业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有害生物监测、预报、预警工作。</w:t>
      </w:r>
    </w:p>
    <w:p w:rsidR="00653685" w:rsidRPr="00B705AD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完成县委、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县政府交办的其化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任务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B705AD" w:rsidRDefault="00B705AD" w:rsidP="00B705AD">
      <w:pPr>
        <w:kinsoku w:val="0"/>
        <w:overflowPunct w:val="0"/>
        <w:adjustRightInd w:val="0"/>
        <w:snapToGrid w:val="0"/>
        <w:spacing w:line="360" w:lineRule="auto"/>
        <w:ind w:right="51"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二、内设机构设置情况</w:t>
      </w:r>
    </w:p>
    <w:p w:rsidR="00B705AD" w:rsidRPr="00E62B09" w:rsidRDefault="00B705AD" w:rsidP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bookmarkStart w:id="0" w:name="PO_part1Responsibilities4"/>
      <w:r w:rsidRPr="00E62B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罗山县林业和茶产业局下设：办公室、生态建设修复和</w:t>
      </w:r>
      <w:r w:rsidRPr="00E62B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科学技术股（挂罗山县绿化委员会办公室牌子）、森林资源管理和森林灾害预防股（改革发展股）、自然保护地和野生动植物保护管理股（湿地管理和国有林场管理股）、产业发展和种苗管理股（项目管理股、茶产业发展办公室）、计划财务股、人事教育股。</w:t>
      </w:r>
    </w:p>
    <w:bookmarkEnd w:id="0"/>
    <w:p w:rsidR="00B705AD" w:rsidRDefault="00B705AD" w:rsidP="00B705AD">
      <w:pPr>
        <w:kinsoku w:val="0"/>
        <w:overflowPunct w:val="0"/>
        <w:adjustRightInd w:val="0"/>
        <w:snapToGrid w:val="0"/>
        <w:spacing w:line="360" w:lineRule="auto"/>
        <w:ind w:right="51" w:firstLineChars="200" w:firstLine="64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三、部门所属预算单位构成</w:t>
      </w:r>
      <w:r>
        <w:rPr>
          <w:rFonts w:ascii="黑体" w:eastAsia="黑体" w:hAnsi="黑体" w:cs="黑体" w:hint="eastAsia"/>
          <w:sz w:val="32"/>
          <w:szCs w:val="32"/>
        </w:rPr>
        <w:t>情况</w:t>
      </w:r>
    </w:p>
    <w:p w:rsidR="00653685" w:rsidRDefault="00A11FFC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2022</w:t>
      </w: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年度</w:t>
      </w:r>
      <w:r w:rsidRPr="00B705AD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预算</w:t>
      </w:r>
      <w:r w:rsidRPr="00B705AD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公开编制范围的单位仅为</w:t>
      </w:r>
      <w:r w:rsidRPr="00B705AD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="00B705AD" w:rsidRPr="00B705AD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本级</w:t>
      </w:r>
      <w:r w:rsidRPr="00B705AD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Default="00B705AD">
      <w:pPr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B705AD" w:rsidRPr="00B705AD" w:rsidRDefault="00B705AD">
      <w:pPr>
        <w:spacing w:line="240" w:lineRule="atLeast"/>
        <w:ind w:firstLineChars="200" w:firstLine="640"/>
        <w:jc w:val="left"/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653685" w:rsidRDefault="00A11FFC" w:rsidP="00B705AD">
      <w:pPr>
        <w:widowControl/>
        <w:shd w:val="clear" w:color="auto" w:fill="FFFFFF"/>
        <w:spacing w:line="240" w:lineRule="atLeast"/>
        <w:jc w:val="center"/>
        <w:rPr>
          <w:rStyle w:val="a5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第二部分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罗山县林业和茶产业局机关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Style w:val="a5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年度部门预算情况说明</w:t>
      </w:r>
    </w:p>
    <w:p w:rsidR="00653685" w:rsidRPr="00B705AD" w:rsidRDefault="00A11FFC">
      <w:pPr>
        <w:widowControl/>
        <w:numPr>
          <w:ilvl w:val="0"/>
          <w:numId w:val="3"/>
        </w:numPr>
        <w:shd w:val="clear" w:color="auto" w:fill="FFFFFF"/>
        <w:spacing w:line="240" w:lineRule="atLeast"/>
        <w:ind w:firstLine="641"/>
        <w:jc w:val="left"/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收入支出预算总体情况说明</w:t>
      </w:r>
    </w:p>
    <w:p w:rsidR="00653685" w:rsidRPr="00B705AD" w:rsidRDefault="00A11FFC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罗山县林业和茶产业局机关（林茶局）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年收入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、支出预算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总计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。预算收入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614.92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相比，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96.81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下降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15.74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。主要原因：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是茶产业发展专项基金预算和绿化养护专项经费减少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。预算支出减少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96.81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下降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15.74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。主要原因：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是茶产业发展专项基金预算和绿化养护专项经费减少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4A4B9C" w:rsidRDefault="00A11FFC" w:rsidP="00B705AD">
      <w:p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二、收入预算总体情况说明</w:t>
      </w:r>
    </w:p>
    <w:p w:rsidR="004A4B9C" w:rsidRDefault="00A11FFC" w:rsidP="004A4B9C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年收入合计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万元，其中：一般公共预算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4A4B9C" w:rsidRDefault="00A11FFC" w:rsidP="004A4B9C">
      <w:p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三、支出预算总体情况说明</w:t>
      </w:r>
    </w:p>
    <w:p w:rsidR="004A4B9C" w:rsidRDefault="00A11FFC" w:rsidP="004A4B9C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年支出合计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万元，其中：基本支出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242.11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46.73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；项目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276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53.27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4A4B9C" w:rsidRDefault="00A11FFC" w:rsidP="004A4B9C">
      <w:p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四、财政拨款收入支出预算总体情况说明</w:t>
      </w:r>
    </w:p>
    <w:p w:rsidR="00653685" w:rsidRPr="00B705AD" w:rsidRDefault="00A11FFC" w:rsidP="004A4B9C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年一般公共预算收支预算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万元，政府性基金收支预算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年相比，一般公共预算收支预算各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96.81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15.74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。主要原因：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是茶产业发展专项基金预算和绿化养护专项经费减少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；政府性基金收支预算增加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年相比无差异。</w:t>
      </w:r>
    </w:p>
    <w:p w:rsidR="00653685" w:rsidRPr="00B705AD" w:rsidRDefault="00A11FFC">
      <w:pPr>
        <w:shd w:val="clear" w:color="auto" w:fill="FFFFFF"/>
        <w:spacing w:line="240" w:lineRule="atLeast"/>
        <w:ind w:left="630"/>
        <w:jc w:val="left"/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五、</w:t>
      </w: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一般公共预算支出预算情况说明</w:t>
      </w:r>
    </w:p>
    <w:p w:rsidR="00653685" w:rsidRPr="00B705AD" w:rsidRDefault="00A11FFC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lastRenderedPageBreak/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年一般公共预算支出年初预算为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518.11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万元。主要用于以下方面：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社会保障和就业支出41.81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万元，占年初预算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8.07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；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卫生健康支出11.75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万元，占年初预算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2.27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；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农林水事务支出449.33万元，占86.72%；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住房保障类支出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15.22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万元，占年初预算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2.98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653685" w:rsidRPr="00B705AD" w:rsidRDefault="00A11FFC">
      <w:pPr>
        <w:numPr>
          <w:ilvl w:val="0"/>
          <w:numId w:val="4"/>
        </w:numPr>
        <w:shd w:val="clear" w:color="auto" w:fill="FFFFFF"/>
        <w:spacing w:line="240" w:lineRule="atLeast"/>
        <w:ind w:firstLineChars="200" w:firstLine="643"/>
        <w:jc w:val="left"/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一般公共预算基本支出预算情况说明</w:t>
      </w:r>
    </w:p>
    <w:p w:rsidR="00EC400F" w:rsidRDefault="00A11FFC">
      <w:pPr>
        <w:autoSpaceDE w:val="0"/>
        <w:autoSpaceDN w:val="0"/>
        <w:spacing w:line="640" w:lineRule="exact"/>
        <w:ind w:left="60"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年一般公共预算基本支出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242.11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万元，其中：人员经费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237.28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占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98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%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主要包括：基本工资、津贴补贴、奖金、社会保障缴费、绩效工资、离休费、退休费、遗属补助、住房公积金等；公用经费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4.83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占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2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%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，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</w:p>
    <w:p w:rsidR="00EC400F" w:rsidRDefault="00A11FFC" w:rsidP="00EC400F">
      <w:pPr>
        <w:autoSpaceDE w:val="0"/>
        <w:autoSpaceDN w:val="0"/>
        <w:spacing w:line="640" w:lineRule="exact"/>
        <w:ind w:left="60" w:firstLineChars="200" w:firstLine="643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七</w:t>
      </w: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“三公”经费支出预算情况说明</w:t>
      </w:r>
    </w:p>
    <w:p w:rsidR="00EC400F" w:rsidRDefault="00A11FFC" w:rsidP="00EC400F">
      <w:pPr>
        <w:autoSpaceDE w:val="0"/>
        <w:autoSpaceDN w:val="0"/>
        <w:spacing w:line="640" w:lineRule="exact"/>
        <w:ind w:left="60"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年“三公”经费预算为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23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,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年“三公”经费支出预算数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同相，没有增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减。具体支出情况如下：</w:t>
      </w:r>
    </w:p>
    <w:p w:rsidR="00EC400F" w:rsidRDefault="00A11FFC" w:rsidP="00EC400F">
      <w:pPr>
        <w:autoSpaceDE w:val="0"/>
        <w:autoSpaceDN w:val="0"/>
        <w:spacing w:line="640" w:lineRule="exact"/>
        <w:ind w:left="60" w:firstLineChars="200" w:firstLine="643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（一）因公出国（境）费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万元，主要用于单位工作人员公务出国（境）的住宿费、旅费、伙食补助费、杂费、培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训费等支出。预算数比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年增加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年相比无差异。</w:t>
      </w:r>
    </w:p>
    <w:p w:rsidR="00653685" w:rsidRPr="00B705AD" w:rsidRDefault="00A11FFC" w:rsidP="00EC400F">
      <w:pPr>
        <w:autoSpaceDE w:val="0"/>
        <w:autoSpaceDN w:val="0"/>
        <w:spacing w:line="640" w:lineRule="exact"/>
        <w:ind w:left="60" w:firstLineChars="200" w:firstLine="643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（二）公务用车购置及运行费</w:t>
      </w: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万元，其中，公务用车购置费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万元；公务用车运行维护费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公务用车购置费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公务用车运行维护费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年度预算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年相比无差异。</w:t>
      </w:r>
    </w:p>
    <w:p w:rsidR="00653685" w:rsidRPr="00B705AD" w:rsidRDefault="00A11FFC">
      <w:pPr>
        <w:numPr>
          <w:ilvl w:val="0"/>
          <w:numId w:val="5"/>
        </w:num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公务接待费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万元，主要用于按规定开支的各类公务接待（含外宾接待）支出。预算数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与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年相比无差异。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其中国内招待费预算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万元，外宾接待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</w:t>
      </w:r>
    </w:p>
    <w:p w:rsidR="00EC400F" w:rsidRPr="00EC400F" w:rsidRDefault="00A11FFC">
      <w:pPr>
        <w:numPr>
          <w:ilvl w:val="0"/>
          <w:numId w:val="4"/>
        </w:num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政府性基金预算支出预算情况说明</w:t>
      </w:r>
    </w:p>
    <w:p w:rsidR="00EC400F" w:rsidRDefault="00A11FFC" w:rsidP="00EC400F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年无使用政府性基金预算拨款安排的支出。</w:t>
      </w:r>
    </w:p>
    <w:p w:rsidR="00653685" w:rsidRPr="00B705AD" w:rsidRDefault="00A11FFC" w:rsidP="00EC400F">
      <w:pPr>
        <w:shd w:val="clear" w:color="auto" w:fill="FFFFFF"/>
        <w:spacing w:line="240" w:lineRule="atLeast"/>
        <w:ind w:firstLineChars="200" w:firstLine="643"/>
        <w:jc w:val="left"/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九、其他重要事项情况说明</w:t>
      </w:r>
    </w:p>
    <w:p w:rsidR="00EC400F" w:rsidRDefault="00A11FFC">
      <w:pPr>
        <w:numPr>
          <w:ilvl w:val="0"/>
          <w:numId w:val="6"/>
        </w:numPr>
        <w:shd w:val="clear" w:color="auto" w:fill="FFFFFF"/>
        <w:spacing w:line="240" w:lineRule="atLeast"/>
        <w:ind w:left="0" w:firstLineChars="200" w:firstLine="643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机关运行经费支出情况</w:t>
      </w:r>
    </w:p>
    <w:p w:rsidR="00653685" w:rsidRPr="00B705AD" w:rsidRDefault="00A11FFC" w:rsidP="00EC400F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年机关运行经费支出预算</w:t>
      </w:r>
      <w:r w:rsidR="004A4B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4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.83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</w:p>
    <w:p w:rsidR="00653685" w:rsidRPr="00B705AD" w:rsidRDefault="00A11FFC">
      <w:pPr>
        <w:autoSpaceDE w:val="0"/>
        <w:autoSpaceDN w:val="0"/>
        <w:spacing w:line="640" w:lineRule="exact"/>
        <w:ind w:left="60"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林茶局机关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年度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公务用车运行维护费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15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是为局二级单位林政稽查大队的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公务用车运行维护费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预算。因为局机关车辆由林政稽查大队使用。</w:t>
      </w:r>
    </w:p>
    <w:p w:rsidR="00EC400F" w:rsidRDefault="00A11FFC" w:rsidP="00EC400F">
      <w:pPr>
        <w:shd w:val="clear" w:color="auto" w:fill="FFFFFF"/>
        <w:spacing w:line="240" w:lineRule="atLeast"/>
        <w:ind w:firstLineChars="147" w:firstLine="472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（二）政府采购支出情况</w:t>
      </w:r>
    </w:p>
    <w:p w:rsidR="00EC400F" w:rsidRDefault="00A11FFC" w:rsidP="00EC400F">
      <w:pPr>
        <w:shd w:val="clear" w:color="auto" w:fill="FFFFFF"/>
        <w:spacing w:line="240" w:lineRule="atLeast"/>
        <w:ind w:firstLineChars="147" w:firstLine="47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罗山县林业和茶产业局机关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年政府采购预算支出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万元，其中采购办公货物预算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10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EC400F" w:rsidRDefault="00A11FFC" w:rsidP="00EC400F">
      <w:pPr>
        <w:shd w:val="clear" w:color="auto" w:fill="FFFFFF"/>
        <w:spacing w:line="240" w:lineRule="atLeast"/>
        <w:ind w:firstLineChars="147" w:firstLine="472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（三）绩效目标设置情况</w:t>
      </w:r>
    </w:p>
    <w:p w:rsidR="00B705AD" w:rsidRDefault="00A11FFC" w:rsidP="00EC400F">
      <w:pPr>
        <w:shd w:val="clear" w:color="auto" w:fill="FFFFFF"/>
        <w:spacing w:line="240" w:lineRule="atLeast"/>
        <w:ind w:firstLineChars="196" w:firstLine="627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罗山县林业和茶产业局机关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 w:rsidR="00EC400F" w:rsidRDefault="00A11FFC" w:rsidP="00EC400F">
      <w:pPr>
        <w:shd w:val="clear" w:color="auto" w:fill="FFFFFF"/>
        <w:spacing w:line="240" w:lineRule="atLeast"/>
        <w:ind w:firstLineChars="196" w:firstLine="63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B705AD">
        <w:rPr>
          <w:rStyle w:val="a5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（四）国有资产占用情况</w:t>
      </w:r>
      <w:bookmarkStart w:id="1" w:name="_GoBack"/>
      <w:bookmarkEnd w:id="1"/>
    </w:p>
    <w:p w:rsidR="00E0717D" w:rsidRDefault="00E0717D" w:rsidP="00E07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2021年期末，我部门</w:t>
      </w:r>
      <w:r>
        <w:rPr>
          <w:rFonts w:ascii="仿宋_GB2312" w:eastAsia="仿宋_GB2312" w:hAnsi="宋体" w:cs="Courier New" w:hint="eastAsia"/>
          <w:sz w:val="32"/>
          <w:szCs w:val="32"/>
        </w:rPr>
        <w:t>共有车辆</w:t>
      </w:r>
      <w:bookmarkStart w:id="2" w:name="PO_part2A10B4Amount2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11"/>
          <w:szCs w:val="11"/>
        </w:rPr>
        <w:t xml:space="preserve"> </w:t>
      </w:r>
      <w:bookmarkEnd w:id="2"/>
      <w:r>
        <w:rPr>
          <w:rFonts w:ascii="仿宋_GB2312" w:eastAsia="仿宋_GB2312" w:hAnsi="宋体" w:cs="Courier New" w:hint="eastAsia"/>
          <w:sz w:val="32"/>
          <w:szCs w:val="32"/>
        </w:rPr>
        <w:t>辆</w:t>
      </w:r>
      <w:r>
        <w:rPr>
          <w:rFonts w:ascii="仿宋_GB2312" w:eastAsia="仿宋_GB2312" w:hint="eastAsia"/>
          <w:sz w:val="32"/>
          <w:szCs w:val="32"/>
        </w:rPr>
        <w:t>，其中：一般公务用车</w:t>
      </w:r>
      <w:bookmarkStart w:id="3" w:name="PO_part2A10B4Amount6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11"/>
          <w:szCs w:val="11"/>
        </w:rPr>
        <w:t xml:space="preserve"> </w:t>
      </w:r>
      <w:bookmarkEnd w:id="3"/>
      <w:r>
        <w:rPr>
          <w:rFonts w:ascii="仿宋_GB2312" w:eastAsia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辆，特种专业技术用车</w:t>
      </w:r>
      <w:bookmarkStart w:id="4" w:name="PO_part2A10B4Amount10"/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bookmarkEnd w:id="4"/>
      <w:r>
        <w:rPr>
          <w:rFonts w:ascii="仿宋_GB2312" w:eastAsia="仿宋_GB2312" w:hint="eastAsia"/>
          <w:sz w:val="32"/>
          <w:szCs w:val="32"/>
        </w:rPr>
        <w:t>辆，其他用车</w:t>
      </w:r>
      <w:bookmarkStart w:id="5" w:name="PO_part2A10B4Amount11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bookmarkEnd w:id="5"/>
      <w:r>
        <w:rPr>
          <w:rFonts w:ascii="仿宋_GB2312" w:eastAsia="仿宋_GB2312" w:hint="eastAsia"/>
          <w:sz w:val="32"/>
          <w:szCs w:val="32"/>
        </w:rPr>
        <w:t>辆，</w:t>
      </w:r>
      <w:r>
        <w:rPr>
          <w:rFonts w:ascii="仿宋_GB2312" w:eastAsia="仿宋_GB2312" w:hAnsi="宋体" w:cs="Courier New" w:hint="eastAsia"/>
          <w:sz w:val="32"/>
          <w:szCs w:val="32"/>
        </w:rPr>
        <w:t>其他用车主要原因：</w:t>
      </w:r>
      <w:r w:rsidRPr="0029483A">
        <w:rPr>
          <w:rFonts w:ascii="仿宋_GB2312" w:eastAsia="仿宋_GB2312" w:hAnsi="宋体" w:cs="Courier New" w:hint="eastAsia"/>
          <w:sz w:val="32"/>
          <w:szCs w:val="32"/>
        </w:rPr>
        <w:t>洒水车一辆，用于园林项目浇水使用，皮卡车一辆，用于全县林业有害生物普查及防治等外出作业时使用</w:t>
      </w:r>
      <w:r w:rsidRPr="0029483A"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单价50万元以上通用设备</w:t>
      </w:r>
      <w:bookmarkStart w:id="6" w:name="PO_part2A10B4Amount8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11"/>
          <w:szCs w:val="11"/>
        </w:rPr>
        <w:t xml:space="preserve"> </w:t>
      </w:r>
      <w:bookmarkEnd w:id="6"/>
      <w:r>
        <w:rPr>
          <w:rFonts w:ascii="仿宋_GB2312" w:eastAsia="仿宋_GB2312" w:hint="eastAsia"/>
          <w:sz w:val="32"/>
          <w:szCs w:val="32"/>
        </w:rPr>
        <w:t>台（套），单位价值100万元以上专用设备</w:t>
      </w:r>
      <w:bookmarkStart w:id="7" w:name="PO_part2A10B4Amount9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11"/>
          <w:szCs w:val="11"/>
        </w:rPr>
        <w:t xml:space="preserve"> </w:t>
      </w:r>
      <w:bookmarkEnd w:id="7"/>
      <w:r>
        <w:rPr>
          <w:rFonts w:ascii="仿宋_GB2312" w:eastAsia="仿宋_GB2312" w:hint="eastAsia"/>
          <w:sz w:val="32"/>
          <w:szCs w:val="32"/>
        </w:rPr>
        <w:t>台（套）。</w:t>
      </w:r>
    </w:p>
    <w:p w:rsidR="00E0717D" w:rsidRDefault="00E0717D" w:rsidP="00E0717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（五）专项转移支付项目情况</w:t>
      </w:r>
    </w:p>
    <w:p w:rsidR="00E0717D" w:rsidRDefault="00E0717D" w:rsidP="00E07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部门负责管理的专项转移支付项目共有6项，主要是：省级林业草原专项资金（第一批）项目1366.9万元、省级林业草原专项资金（第二批）项目495万元、中央林业草原生态保护恢复资金（第一批）项目353.3万元、中央林业草原生态保护恢复资金（第二批）项目554万元、中央林业改革发展资金（第一批）项目1953.5万元、中央林业改革发展资金（第二批）项目1139.5万元等；</w:t>
      </w:r>
    </w:p>
    <w:p w:rsidR="00B705AD" w:rsidRDefault="00E0717D" w:rsidP="00E07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</w:rPr>
        <w:t>我部门将按照《预算法》等有关规定，积极做好项目分配前期准备工作，在规定的时间内向财政部门提出资金分配意见，根据有关要求做好项目申报公开等相关工作。</w:t>
      </w:r>
    </w:p>
    <w:p w:rsidR="00653685" w:rsidRPr="00B705AD" w:rsidRDefault="00A11FFC" w:rsidP="00B705AD">
      <w:pPr>
        <w:shd w:val="clear" w:color="auto" w:fill="FFFFFF"/>
        <w:spacing w:line="240" w:lineRule="atLeast"/>
        <w:jc w:val="center"/>
        <w:rPr>
          <w:rFonts w:ascii="黑体" w:eastAsia="黑体" w:hAnsi="黑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>第三部分</w:t>
      </w:r>
      <w:r w:rsidR="00B705AD">
        <w:rPr>
          <w:rFonts w:ascii="仿宋_GB2312" w:eastAsia="仿宋_GB2312" w:hAnsi="宋体" w:cs="宋体" w:hint="eastAsia"/>
          <w:b/>
          <w:bCs/>
          <w:sz w:val="32"/>
          <w:szCs w:val="32"/>
        </w:rPr>
        <w:t>:</w:t>
      </w:r>
      <w:r w:rsidRPr="00B705AD">
        <w:rPr>
          <w:rFonts w:ascii="黑体" w:eastAsia="黑体" w:hAnsi="黑体" w:cs="宋体" w:hint="eastAsia"/>
          <w:sz w:val="32"/>
          <w:szCs w:val="32"/>
        </w:rPr>
        <w:t>名词解释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一、财政拨款收入：是指省级财政当年拨付的资金；包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括一般公共预算拨款、政府性基金预算拨款、国有资本经营预算拨款。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二、财政专户管理资金：是指缴入财政专户、实行专项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管理的高中以上学费、住宿费、高校委托培养费、函大、电大、夜大及短训班培训费等教育收费。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三、事业收入：是指事业单位开展专业活动及辅助活动</w:t>
      </w:r>
    </w:p>
    <w:p w:rsidR="00653685" w:rsidRPr="00B705AD" w:rsidRDefault="00A11FFC">
      <w:pPr>
        <w:autoSpaceDE w:val="0"/>
        <w:autoSpaceDN w:val="0"/>
        <w:spacing w:line="64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所取得的收入，不包括教育收费。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四、事业单位经营收入：是指事业单位在专业业务活动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及其辅助活动之外开展非独立核算经营活动取得的收入。</w:t>
      </w:r>
    </w:p>
    <w:p w:rsidR="00653685" w:rsidRPr="00B705AD" w:rsidRDefault="00A11FFC" w:rsidP="00B705AD">
      <w:pPr>
        <w:autoSpaceDE w:val="0"/>
        <w:autoSpaceDN w:val="0"/>
        <w:spacing w:line="620" w:lineRule="exact"/>
        <w:ind w:left="142" w:firstLineChars="180" w:firstLine="576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五、其他收入：是指部门取得的除“财政拨款”、“事业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收入”、“事业单位经营收入”等以外的收入。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六、用事业基金弥补收支差额：是指事业单位在当年的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653685" w:rsidRPr="00B705AD" w:rsidRDefault="00A11FFC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七、基本支出：是指为保障机构正常运转、完成日常工</w:t>
      </w:r>
    </w:p>
    <w:p w:rsidR="00653685" w:rsidRPr="00B705AD" w:rsidRDefault="00A11FFC">
      <w:pPr>
        <w:autoSpaceDE w:val="0"/>
        <w:autoSpaceDN w:val="0"/>
        <w:spacing w:line="56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作任务所必需的开支，其内容包括人员经费和日常公用经费两部分。</w:t>
      </w:r>
    </w:p>
    <w:p w:rsidR="00653685" w:rsidRPr="00B705AD" w:rsidRDefault="00A11FFC">
      <w:pPr>
        <w:autoSpaceDE w:val="0"/>
        <w:autoSpaceDN w:val="0"/>
        <w:spacing w:line="640" w:lineRule="exact"/>
        <w:ind w:left="70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lastRenderedPageBreak/>
        <w:t>八、项目支出：是指在基本支出之外，为完成特定的行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政工作任务或事业发展目标所发生的支出。</w:t>
      </w:r>
    </w:p>
    <w:p w:rsidR="00653685" w:rsidRPr="00B705AD" w:rsidRDefault="00A11FFC">
      <w:pPr>
        <w:autoSpaceDE w:val="0"/>
        <w:autoSpaceDN w:val="0"/>
        <w:spacing w:line="620" w:lineRule="exact"/>
        <w:ind w:left="70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九、“三公”经费：是指纳入省级财政预算管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理，部门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653685" w:rsidRPr="00B705AD" w:rsidRDefault="00A11FFC">
      <w:pPr>
        <w:autoSpaceDE w:val="0"/>
        <w:autoSpaceDN w:val="0"/>
        <w:spacing w:line="620" w:lineRule="exact"/>
        <w:ind w:left="70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十、行政（事业）单位机构运转经费情况：是指为保障</w:t>
      </w: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sz w:val="32"/>
          <w:szCs w:val="32"/>
        </w:rPr>
        <w:t>单位（包括行政单位和事业单位）运行用于购买货物和服务的各项资金，包括办公及印刷费、邮电费、差旅费、会议费、福利费、日常</w:t>
      </w:r>
      <w:r w:rsidRPr="00B705AD">
        <w:rPr>
          <w:rFonts w:ascii="仿宋_GB2312" w:eastAsia="仿宋_GB2312" w:hAnsi="宋体" w:cs="宋体" w:hint="eastAsia"/>
          <w:sz w:val="32"/>
          <w:szCs w:val="32"/>
        </w:rPr>
        <w:t>维修费及一般设备购置费、办公用房水电费、办公用房取暖费、办公用房物业管理费、公务用车运行维护费以及其他费用。</w:t>
      </w:r>
    </w:p>
    <w:p w:rsidR="00653685" w:rsidRPr="00B705AD" w:rsidRDefault="00653685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sz w:val="32"/>
          <w:szCs w:val="32"/>
        </w:rPr>
      </w:pPr>
    </w:p>
    <w:p w:rsidR="00653685" w:rsidRPr="00B705AD" w:rsidRDefault="00A11FFC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 w:rsidRPr="00B705A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:</w:t>
      </w:r>
      <w:r w:rsidRPr="00B705AD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tbl>
      <w:tblPr>
        <w:tblW w:w="8226" w:type="dxa"/>
        <w:tblCellMar>
          <w:left w:w="0" w:type="dxa"/>
          <w:right w:w="0" w:type="dxa"/>
        </w:tblCellMar>
        <w:tblLook w:val="04A0"/>
      </w:tblPr>
      <w:tblGrid>
        <w:gridCol w:w="690"/>
        <w:gridCol w:w="7536"/>
      </w:tblGrid>
      <w:tr w:rsidR="00653685" w:rsidRPr="00B705AD">
        <w:trPr>
          <w:trHeight w:val="450"/>
        </w:trPr>
        <w:tc>
          <w:tcPr>
            <w:tcW w:w="690" w:type="dxa"/>
            <w:shd w:val="clear" w:color="auto" w:fill="auto"/>
            <w:vAlign w:val="center"/>
          </w:tcPr>
          <w:p w:rsidR="00653685" w:rsidRPr="00B705AD" w:rsidRDefault="00A11FFC">
            <w:pPr>
              <w:widowControl/>
              <w:spacing w:line="240" w:lineRule="atLeas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000000" w:themeColor="text1"/>
                <w:sz w:val="32"/>
                <w:szCs w:val="32"/>
              </w:rPr>
            </w:pPr>
            <w:r w:rsidRPr="00B705AD">
              <w:rPr>
                <w:rFonts w:ascii="仿宋_GB2312" w:eastAsia="仿宋_GB2312" w:hAnsi="宋体" w:cs="宋体" w:hint="eastAsia"/>
                <w:noProof/>
                <w:color w:val="000000" w:themeColor="text1"/>
                <w:sz w:val="32"/>
                <w:szCs w:val="32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653685" w:rsidRPr="00B705AD" w:rsidRDefault="00653685" w:rsidP="00B705AD">
            <w:pPr>
              <w:widowControl/>
              <w:spacing w:line="240" w:lineRule="atLeast"/>
              <w:ind w:firstLineChars="200" w:firstLine="420"/>
              <w:jc w:val="left"/>
              <w:rPr>
                <w:rFonts w:ascii="仿宋_GB2312" w:eastAsia="仿宋_GB2312" w:hAnsi="宋体" w:cs="宋体" w:hint="eastAsia"/>
                <w:color w:val="000000" w:themeColor="text1"/>
                <w:sz w:val="32"/>
                <w:szCs w:val="32"/>
              </w:rPr>
            </w:pPr>
            <w:hyperlink r:id="rId10" w:tgtFrame="http://czj.xinyang.gov.cn/c/392/2021/0707/_blank" w:history="1">
              <w:r w:rsidR="00A11FFC" w:rsidRPr="00B705AD">
                <w:rPr>
                  <w:rStyle w:val="a6"/>
                  <w:rFonts w:ascii="仿宋_GB2312" w:eastAsia="仿宋_GB2312" w:hAnsi="宋体" w:cs="宋体" w:hint="eastAsia"/>
                  <w:color w:val="000000" w:themeColor="text1"/>
                  <w:sz w:val="32"/>
                  <w:szCs w:val="32"/>
                </w:rPr>
                <w:t>2022</w:t>
              </w:r>
              <w:r w:rsidR="00A11FFC" w:rsidRPr="00B705AD">
                <w:rPr>
                  <w:rStyle w:val="a6"/>
                  <w:rFonts w:ascii="仿宋_GB2312" w:eastAsia="仿宋_GB2312" w:hAnsi="宋体" w:cs="宋体" w:hint="eastAsia"/>
                  <w:color w:val="000000" w:themeColor="text1"/>
                  <w:sz w:val="32"/>
                  <w:szCs w:val="32"/>
                </w:rPr>
                <w:t>年罗山县林业和茶产业局</w:t>
              </w:r>
              <w:r w:rsidR="00A11FFC" w:rsidRPr="00B705AD">
                <w:rPr>
                  <w:rStyle w:val="a6"/>
                  <w:rFonts w:ascii="仿宋_GB2312" w:eastAsia="仿宋_GB2312" w:hAnsi="宋体" w:cs="宋体" w:hint="eastAsia"/>
                  <w:color w:val="000000" w:themeColor="text1"/>
                  <w:sz w:val="32"/>
                  <w:szCs w:val="32"/>
                </w:rPr>
                <w:t>预算公开表</w:t>
              </w:r>
            </w:hyperlink>
          </w:p>
        </w:tc>
      </w:tr>
    </w:tbl>
    <w:p w:rsidR="00653685" w:rsidRPr="00B705AD" w:rsidRDefault="00A11FFC">
      <w:pPr>
        <w:widowControl/>
        <w:spacing w:before="300" w:line="240" w:lineRule="atLeast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                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　　　</w:t>
      </w:r>
    </w:p>
    <w:p w:rsidR="00653685" w:rsidRPr="00B705AD" w:rsidRDefault="00A11FFC">
      <w:pPr>
        <w:widowControl/>
        <w:spacing w:before="300" w:line="240" w:lineRule="atLeast"/>
        <w:jc w:val="left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　　　　　　　　　　　　　　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</w:t>
      </w:r>
      <w:r w:rsidRPr="00B705A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罗山县林业和茶产业局</w:t>
      </w:r>
    </w:p>
    <w:sectPr w:rsidR="00653685" w:rsidRPr="00B705AD" w:rsidSect="0065368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FC" w:rsidRDefault="00A11FFC" w:rsidP="00653685">
      <w:r>
        <w:separator/>
      </w:r>
    </w:p>
  </w:endnote>
  <w:endnote w:type="continuationSeparator" w:id="1">
    <w:p w:rsidR="00A11FFC" w:rsidRDefault="00A11FFC" w:rsidP="0065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85" w:rsidRDefault="006536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653685" w:rsidRDefault="0065368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11F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717D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FC" w:rsidRDefault="00A11FFC" w:rsidP="00653685">
      <w:r>
        <w:separator/>
      </w:r>
    </w:p>
  </w:footnote>
  <w:footnote w:type="continuationSeparator" w:id="1">
    <w:p w:rsidR="00A11FFC" w:rsidRDefault="00A11FFC" w:rsidP="0065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791B0"/>
    <w:multiLevelType w:val="singleLevel"/>
    <w:tmpl w:val="F83791B0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FF6DFDBF"/>
    <w:multiLevelType w:val="singleLevel"/>
    <w:tmpl w:val="FF6DFDBF"/>
    <w:lvl w:ilvl="0">
      <w:start w:val="1"/>
      <w:numFmt w:val="chineseCounting"/>
      <w:suff w:val="nothing"/>
      <w:lvlText w:val="（%1）"/>
      <w:lvlJc w:val="left"/>
      <w:pPr>
        <w:ind w:left="900" w:firstLine="0"/>
      </w:pPr>
      <w:rPr>
        <w:rFonts w:hint="eastAsia"/>
      </w:rPr>
    </w:lvl>
  </w:abstractNum>
  <w:abstractNum w:abstractNumId="2">
    <w:nsid w:val="01B09F0A"/>
    <w:multiLevelType w:val="singleLevel"/>
    <w:tmpl w:val="01B09F0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DCC394B"/>
    <w:multiLevelType w:val="singleLevel"/>
    <w:tmpl w:val="2DCC394B"/>
    <w:lvl w:ilvl="0">
      <w:start w:val="1"/>
      <w:numFmt w:val="chineseCounting"/>
      <w:suff w:val="nothing"/>
      <w:lvlText w:val="%1、"/>
      <w:lvlJc w:val="left"/>
      <w:pPr>
        <w:ind w:left="-11"/>
      </w:pPr>
      <w:rPr>
        <w:rFonts w:hint="eastAsia"/>
      </w:rPr>
    </w:lvl>
  </w:abstractNum>
  <w:abstractNum w:abstractNumId="4">
    <w:nsid w:val="4E32D0AD"/>
    <w:multiLevelType w:val="singleLevel"/>
    <w:tmpl w:val="4E32D0A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FEEDE91"/>
    <w:multiLevelType w:val="singleLevel"/>
    <w:tmpl w:val="4FEEDE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JhYWRjNmViMTZiOTVlZjVkYmE2OGMyNjJhNDFhOGUifQ=="/>
  </w:docVars>
  <w:rsids>
    <w:rsidRoot w:val="58914A84"/>
    <w:rsid w:val="002A1DBF"/>
    <w:rsid w:val="004A4B9C"/>
    <w:rsid w:val="005956C0"/>
    <w:rsid w:val="00653685"/>
    <w:rsid w:val="00A11FFC"/>
    <w:rsid w:val="00A415FD"/>
    <w:rsid w:val="00B705AD"/>
    <w:rsid w:val="00E0717D"/>
    <w:rsid w:val="00EC400F"/>
    <w:rsid w:val="018B7635"/>
    <w:rsid w:val="041F0252"/>
    <w:rsid w:val="05B30F86"/>
    <w:rsid w:val="06CF0375"/>
    <w:rsid w:val="07DA5B87"/>
    <w:rsid w:val="0F7B6853"/>
    <w:rsid w:val="11734355"/>
    <w:rsid w:val="13642BF3"/>
    <w:rsid w:val="146039CD"/>
    <w:rsid w:val="197F32EF"/>
    <w:rsid w:val="198A56E2"/>
    <w:rsid w:val="19F0078A"/>
    <w:rsid w:val="1A811B16"/>
    <w:rsid w:val="343C0CC1"/>
    <w:rsid w:val="35494905"/>
    <w:rsid w:val="37A335F3"/>
    <w:rsid w:val="392B5CFA"/>
    <w:rsid w:val="394658BD"/>
    <w:rsid w:val="3A746EF2"/>
    <w:rsid w:val="3DA1291D"/>
    <w:rsid w:val="3F597F31"/>
    <w:rsid w:val="3FDC3C83"/>
    <w:rsid w:val="4F4618A1"/>
    <w:rsid w:val="58742A0D"/>
    <w:rsid w:val="58914A84"/>
    <w:rsid w:val="59863BEA"/>
    <w:rsid w:val="5ECB4DC8"/>
    <w:rsid w:val="5EFF6FE8"/>
    <w:rsid w:val="690B6848"/>
    <w:rsid w:val="6DAC6FA1"/>
    <w:rsid w:val="70E3276D"/>
    <w:rsid w:val="724D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6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5368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3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53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653685"/>
    <w:rPr>
      <w:b/>
    </w:rPr>
  </w:style>
  <w:style w:type="character" w:styleId="a6">
    <w:name w:val="Hyperlink"/>
    <w:basedOn w:val="a0"/>
    <w:qFormat/>
    <w:rsid w:val="00653685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B705AD"/>
    <w:pPr>
      <w:ind w:firstLineChars="200" w:firstLine="420"/>
    </w:pPr>
  </w:style>
  <w:style w:type="paragraph" w:styleId="a8">
    <w:name w:val="Balloon Text"/>
    <w:basedOn w:val="a"/>
    <w:link w:val="Char"/>
    <w:rsid w:val="00B705AD"/>
    <w:rPr>
      <w:sz w:val="18"/>
      <w:szCs w:val="18"/>
    </w:rPr>
  </w:style>
  <w:style w:type="character" w:customStyle="1" w:styleId="Char">
    <w:name w:val="批注框文本 Char"/>
    <w:basedOn w:val="a0"/>
    <w:link w:val="a8"/>
    <w:rsid w:val="00B705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j.xinyang.gov.cn/uploads/soft/210707/6-210FG53600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836</Words>
  <Characters>4769</Characters>
  <Application>Microsoft Office Word</Application>
  <DocSecurity>0</DocSecurity>
  <Lines>39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2023-03-10T02:40:00Z</cp:lastPrinted>
  <dcterms:created xsi:type="dcterms:W3CDTF">2021-07-14T02:51:00Z</dcterms:created>
  <dcterms:modified xsi:type="dcterms:W3CDTF">2023-04-04T08:56:00Z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900D8A6C40874E8B91D433AB1338C21F</vt:lpwstr>
  </property>
</Properties>
</file>