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504"/>
        <w:jc w:val="center"/>
        <w:rPr>
          <w:rFonts w:ascii="新宋体" w:hAnsi="新宋体" w:eastAsia="新宋体" w:cs="宋体"/>
          <w:b/>
          <w:bCs/>
          <w:kern w:val="0"/>
          <w:sz w:val="44"/>
          <w:szCs w:val="44"/>
        </w:rPr>
      </w:pP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eastAsia="zh-CN"/>
        </w:rPr>
        <w:t>2022年度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罗山县文化广电和旅游局</w:t>
      </w:r>
      <w:r>
        <w:rPr>
          <w:rFonts w:hint="eastAsia" w:ascii="黑体" w:hAnsi="黑体" w:eastAsia="黑体" w:cs="方正小标宋简体"/>
          <w:sz w:val="11"/>
          <w:szCs w:val="11"/>
        </w:rPr>
        <w:t xml:space="preserve"> </w:t>
      </w:r>
      <w:r>
        <w:rPr>
          <w:rFonts w:hint="eastAsia" w:ascii="黑体" w:hAnsi="黑体" w:eastAsia="黑体" w:cs="方正小标宋简体"/>
          <w:sz w:val="44"/>
          <w:szCs w:val="44"/>
          <w:lang w:eastAsia="zh-CN"/>
        </w:rPr>
        <w:t>本级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  <w:t>预</w:t>
      </w: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算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  <w:t>说明</w:t>
      </w: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after="240" w:line="600" w:lineRule="exact"/>
        <w:jc w:val="center"/>
        <w:rPr>
          <w:rFonts w:ascii="新宋体" w:hAnsi="新宋体" w:eastAsia="新宋体" w:cs="宋体"/>
          <w:kern w:val="0"/>
          <w:sz w:val="44"/>
          <w:szCs w:val="44"/>
        </w:rPr>
      </w:pP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　　目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  <w:t> </w:t>
      </w: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录</w:t>
      </w:r>
    </w:p>
    <w:p>
      <w:pPr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宋体" w:hAnsi="宋体" w:cs="宋体"/>
          <w:bCs/>
          <w:kern w:val="0"/>
          <w:sz w:val="32"/>
          <w:szCs w:val="32"/>
        </w:rPr>
        <w:t>　　</w:t>
      </w:r>
      <w:r>
        <w:rPr>
          <w:rFonts w:ascii="黑体" w:hAnsi="黑体" w:eastAsia="黑体" w:cs="宋体"/>
          <w:bCs/>
          <w:kern w:val="0"/>
          <w:sz w:val="32"/>
          <w:szCs w:val="32"/>
        </w:rPr>
        <w:t xml:space="preserve">第一部分 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罗山县文化广电和旅游局</w:t>
      </w:r>
      <w:r>
        <w:rPr>
          <w:rFonts w:ascii="黑体" w:hAnsi="黑体" w:eastAsia="黑体" w:cs="宋体"/>
          <w:bCs/>
          <w:kern w:val="0"/>
          <w:sz w:val="32"/>
          <w:szCs w:val="32"/>
        </w:rPr>
        <w:t>概况</w:t>
      </w:r>
    </w:p>
    <w:p>
      <w:pPr>
        <w:widowControl/>
        <w:shd w:val="clear" w:color="auto" w:fill="FFFFFF"/>
        <w:ind w:left="45" w:right="45" w:firstLine="645"/>
        <w:jc w:val="left"/>
        <w:rPr>
          <w:rFonts w:hint="eastAsia"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一、主要职能</w:t>
      </w:r>
    </w:p>
    <w:p>
      <w:pPr>
        <w:widowControl/>
        <w:shd w:val="clear" w:color="auto" w:fill="FFFFFF"/>
        <w:ind w:left="45" w:right="45" w:firstLine="645"/>
        <w:jc w:val="left"/>
        <w:rPr>
          <w:rFonts w:hint="eastAsia"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二、机构设置</w:t>
      </w:r>
    </w:p>
    <w:p>
      <w:pPr>
        <w:widowControl/>
        <w:shd w:val="clear" w:color="auto" w:fill="FFFFFF"/>
        <w:ind w:left="45" w:right="45" w:firstLine="645"/>
        <w:jc w:val="left"/>
        <w:rPr>
          <w:rFonts w:hint="eastAsia"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、预算单位构成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/>
          <w:bCs/>
          <w:kern w:val="0"/>
          <w:sz w:val="24"/>
          <w:szCs w:val="24"/>
        </w:rPr>
        <w:t>　　</w:t>
      </w:r>
      <w:r>
        <w:rPr>
          <w:rFonts w:hint="eastAsia" w:ascii="黑体" w:hAnsi="黑体" w:eastAsia="黑体" w:cs="宋体"/>
          <w:b/>
          <w:bCs/>
          <w:kern w:val="0"/>
          <w:sz w:val="24"/>
          <w:szCs w:val="24"/>
        </w:rPr>
        <w:t xml:space="preserve"> </w:t>
      </w:r>
      <w:r>
        <w:rPr>
          <w:rFonts w:ascii="黑体" w:hAnsi="黑体" w:eastAsia="黑体" w:cs="宋体"/>
          <w:bCs/>
          <w:kern w:val="0"/>
          <w:sz w:val="32"/>
          <w:szCs w:val="32"/>
        </w:rPr>
        <w:t>第二部分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罗山县文化广电和旅游局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2022年度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预算情况说明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第三部分 名词解释</w:t>
      </w:r>
    </w:p>
    <w:p>
      <w:pPr>
        <w:pStyle w:val="2"/>
        <w:ind w:firstLine="64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附件：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罗山县文化广电和旅游局2022年度预算表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一、收支总体情况表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二、收入总体情况表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三、支出总体情况表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四</w:t>
      </w:r>
      <w:r>
        <w:rPr>
          <w:rFonts w:ascii="仿宋" w:hAnsi="仿宋" w:eastAsia="仿宋" w:cs="宋体"/>
          <w:kern w:val="0"/>
          <w:sz w:val="32"/>
          <w:szCs w:val="32"/>
        </w:rPr>
        <w:t>、财政拨款收支总体情况表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五</w:t>
      </w:r>
      <w:r>
        <w:rPr>
          <w:rFonts w:ascii="仿宋" w:hAnsi="仿宋" w:eastAsia="仿宋" w:cs="宋体"/>
          <w:kern w:val="0"/>
          <w:sz w:val="32"/>
          <w:szCs w:val="32"/>
        </w:rPr>
        <w:t>、一般公共预算支出情况表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六</w:t>
      </w:r>
      <w:r>
        <w:rPr>
          <w:rFonts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一般公共预算基本支出情况表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宋体"/>
          <w:kern w:val="0"/>
          <w:sz w:val="32"/>
          <w:szCs w:val="32"/>
        </w:rPr>
        <w:t>、支出经济分类汇总表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八</w:t>
      </w:r>
      <w:r>
        <w:rPr>
          <w:rFonts w:ascii="仿宋" w:hAnsi="仿宋" w:eastAsia="仿宋" w:cs="宋体"/>
          <w:kern w:val="0"/>
          <w:sz w:val="32"/>
          <w:szCs w:val="32"/>
        </w:rPr>
        <w:t>、一般公共预算“三公”经费支出情况表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九、项目支出表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十</w:t>
      </w:r>
      <w:r>
        <w:rPr>
          <w:rFonts w:ascii="仿宋" w:hAnsi="仿宋" w:eastAsia="仿宋" w:cs="宋体"/>
          <w:kern w:val="0"/>
          <w:sz w:val="32"/>
          <w:szCs w:val="32"/>
        </w:rPr>
        <w:t>、政府性基金预算支出情况表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宋体"/>
          <w:kern w:val="0"/>
          <w:sz w:val="32"/>
          <w:szCs w:val="32"/>
        </w:rPr>
        <w:t>、财政支出绩效目标表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第一部分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罗山县文化广电和旅游局</w:t>
      </w:r>
      <w:r>
        <w:rPr>
          <w:rFonts w:ascii="黑体" w:hAnsi="黑体" w:eastAsia="黑体" w:cs="宋体"/>
          <w:bCs/>
          <w:kern w:val="0"/>
          <w:sz w:val="32"/>
          <w:szCs w:val="32"/>
        </w:rPr>
        <w:t>概况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default" w:ascii="黑体" w:hAnsi="黑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罗山县文化广电和旅游局</w:t>
      </w:r>
      <w:r>
        <w:rPr>
          <w:rFonts w:ascii="黑体" w:hAnsi="黑体" w:eastAsia="黑体" w:cs="宋体"/>
          <w:bCs/>
          <w:kern w:val="0"/>
          <w:sz w:val="32"/>
          <w:szCs w:val="32"/>
        </w:rPr>
        <w:t>主要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职能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罗山县文化广电和旅游局的主要职责是：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（一）研究拟定全县文化广电和旅游政策措施，起草广播电视、网络视听节目服务和文物保护管理制度，并组织实施。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（二）统筹规划全县文化广电事业、文化产业和旅游产业发展，拟订发展规划并组织实施，推进文化广电和旅游融和发展，推进文化广电和旅游体制机制改革。扶持体现社会主义核心价值观、具有导向性代表性示范性的产业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（三）指导、管理全县文艺事业，指导艺术创作生产，扶持体现社会主义核心价值观、具有导向性代表性示范性的文艺作品创作生产，推动各相关门类艺术、各相关艺术品种发展；指导协调全县重大文化和旅游活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（四）负责公共文化事业发展，指导、推进全县公共文化服务体系建设、旅游公共服务建设和广播电视重点基础设施建设，统筹推进基本公共文化服务标准化、均等化，深入推进文化和旅游惠民工程。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（五）指导、推进文化广电和旅游科技创新发展，推进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文化文物广电和旅游行业信息化、数字化、标准化建设。负责全县文化艺术广电和旅游人才队伍建设工作。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（六）负责非物质文化遗产保护，推动全县非物质文化遗产的保护、传承、普及、弘扬和振兴，推动优秀传统文化传承发展。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（七）组织实施文化和旅游资源普查、挖掘、保护和利用工作，参与乡村振兴战略工作，指导、推进全域旅游。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（八）拟定文化产业相关门类和旅游产业发展规划并组织实施，指导文化广电和旅游重大项目建设，知道文化产业相关门类和旅游产业结构优化升级，促进文化产业、动漫和网络游戏以及旅游产业发展。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（九）统筹规划红色旅游发展，指导推进红色纪念地、场馆提升工作，组织开展红色重大活动，协调推动红色旅游区域合作。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十）指导文化广电和旅游市场发展，对文化广电和旅游市场经营进行行业监管，推进文化广电和旅游行业精神文明和信用体系建设，依法规范文化广电和旅游市场，指导推动文化广电和旅游企业质量管理和品牌培育，负责文化广电和旅游行业安全监督管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（十一）统筹规划广播电视产业发展，指导推进广播电视健康发展工作。负责对电视动漫和网络视听中的动漫节目管理和利用。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（十二）宣传、贯彻、落实文物法律法规和方针政策；拟定和实施权限文物保护利用发展规划；负责全县文物保护管理和利用。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（十三）拟订文化和旅游市场开发战略并组织实施，组织开展全县文化和旅游的宣传推广工作，推进文化旅游区域合作。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（十四）指导、管理文化旅游对外及对港澳台交流、合作和宣传、推广工作，组织大型文化和旅游对外及对港澳台交流、推广活动。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（十五）指导文化广电和旅游市场综合执法，组织查处全县性、跨区域文化、广播电视、旅游等市场的违法行为，督查督办大案要案，维护市场秩序。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（十六）完成县委、县政府交办的其他任务。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罗山县文化广电和旅游局</w:t>
      </w:r>
      <w:r>
        <w:rPr>
          <w:rFonts w:hint="eastAsia" w:ascii="黑体" w:hAnsi="黑体" w:eastAsia="黑体" w:cs="黑体"/>
          <w:kern w:val="0"/>
          <w:sz w:val="32"/>
          <w:szCs w:val="32"/>
        </w:rPr>
        <w:t>的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机构设置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文化广电和旅游局属于一级机构，设6个内设机构：办公室（财务股人事股）、文化艺术股（非物质文化遗产保护股）、产业发展股、广电和传媒事业股、政策法规和市场管理股（执法监督股）、文博股。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罗山县文化广电和旅游局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预算单位构成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纳入本部门 2022年度部门预算编制范围的单位共1个 ，具体是：罗山县文化广电和旅游局局机关本级。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此次公开的预算“无下属机构及其他预算单位”仅有局机关本级。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第二部分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罗山县文化广电和旅游局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2022年度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预算情况说明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一、收入支出预算总体情况说明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罗山县文化广电和旅游局2022年收入总计291.13万元，支出总计291.13万元，比2021年预算增加20.07万元，增长7.40%，主要原因：2022年部门人员工资增加和影剧院人员经费并到局机关。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收入预算总体情况说明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罗山县文化广电和旅游局2022年收入合计291.13万元，其中：一般公共预算291.13万元。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="0" w:leftChars="0"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支出预算总体情况说明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罗山县文化广电和旅游局2022年支出合计291.13万元，其中：基本支出241.13万元，占82.83%；项目支出50万元，占</w:t>
      </w:r>
      <w:bookmarkStart w:id="0" w:name="PO_part2A3Amount5"/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17.17% </w:t>
      </w:r>
      <w:bookmarkEnd w:id="0"/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="0" w:leftChars="0"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财政拨款收入支出预算总体情况说明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罗山县文化广电和旅游局2022年一般公共预算收支预算291.13万元。与2021年相比，一般公共预算收支预算增加20.07万元，增长7.40% ，主要原因是：2022年部门人员工资增加和影剧院人员经费的纳入并到局机关。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="0" w:leftChars="0"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一般公共预算支出预算情况说明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罗山县文化广电和旅游局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一般公共预算支出年初预算为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291.13</w:t>
      </w:r>
      <w:r>
        <w:rPr>
          <w:rFonts w:ascii="仿宋" w:hAnsi="仿宋" w:eastAsia="仿宋" w:cs="宋体"/>
          <w:kern w:val="0"/>
          <w:sz w:val="32"/>
          <w:szCs w:val="32"/>
        </w:rPr>
        <w:t>万元。主要用于以下方面：文化体育与传媒（类）支出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242.92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83.44</w:t>
      </w:r>
      <w:r>
        <w:rPr>
          <w:rFonts w:hint="eastAsia" w:ascii="仿宋" w:hAnsi="仿宋" w:eastAsia="仿宋" w:cs="宋体"/>
          <w:kern w:val="0"/>
          <w:sz w:val="32"/>
          <w:szCs w:val="32"/>
        </w:rPr>
        <w:t>%</w:t>
      </w:r>
      <w:r>
        <w:rPr>
          <w:rFonts w:ascii="仿宋" w:hAnsi="仿宋" w:eastAsia="仿宋" w:cs="宋体"/>
          <w:kern w:val="0"/>
          <w:sz w:val="32"/>
          <w:szCs w:val="32"/>
        </w:rPr>
        <w:t>；社会保障和就业（类）支出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21.59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7.42</w:t>
      </w:r>
      <w:r>
        <w:rPr>
          <w:rFonts w:ascii="仿宋" w:hAnsi="仿宋" w:eastAsia="仿宋" w:cs="宋体"/>
          <w:kern w:val="0"/>
          <w:sz w:val="32"/>
          <w:szCs w:val="32"/>
        </w:rPr>
        <w:t>%；医疗卫生与计划生育（类）支出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10.65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3.66</w:t>
      </w:r>
      <w:r>
        <w:rPr>
          <w:rFonts w:ascii="仿宋" w:hAnsi="仿宋" w:eastAsia="仿宋" w:cs="宋体"/>
          <w:kern w:val="0"/>
          <w:sz w:val="32"/>
          <w:szCs w:val="32"/>
        </w:rPr>
        <w:t>%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；住房保障支出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15.97万元。占5.48%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="0" w:leftChars="0" w:firstLine="643" w:firstLineChars="200"/>
        <w:rPr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一般公共预算基本支出预算情况说明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一般公共预算基本支出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241.13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万元，其中：人员经费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235.83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万元，主要包括：</w:t>
      </w:r>
      <w:r>
        <w:rPr>
          <w:rFonts w:hint="eastAsia" w:ascii="仿宋" w:hAnsi="仿宋" w:eastAsia="仿宋" w:cs="宋体"/>
          <w:kern w:val="0"/>
          <w:sz w:val="32"/>
          <w:szCs w:val="32"/>
        </w:rPr>
        <w:t>基本工资、津贴补贴、奖金、社会保障缴费、伙食补助费、绩效工资、其他工资福利支出、离休费、退休费、退职（役）费、抚恤金、生活补助、医疗费、助学金、奖励金、住房公积金、提租补贴、购房补</w:t>
      </w:r>
      <w:bookmarkStart w:id="1" w:name="_GoBack"/>
      <w:bookmarkEnd w:id="1"/>
      <w:r>
        <w:rPr>
          <w:rFonts w:hint="eastAsia" w:ascii="仿宋" w:hAnsi="仿宋" w:eastAsia="仿宋" w:cs="宋体"/>
          <w:kern w:val="0"/>
          <w:sz w:val="32"/>
          <w:szCs w:val="32"/>
        </w:rPr>
        <w:t>贴、其他对个人和家庭的补助支出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；公用经费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5.3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万元，主要包括：办公费、福利费</w:t>
      </w:r>
      <w:r>
        <w:rPr>
          <w:rFonts w:hint="eastAsia" w:ascii="仿宋" w:hAnsi="仿宋" w:eastAsia="仿宋" w:cs="宋体"/>
          <w:kern w:val="0"/>
          <w:sz w:val="32"/>
          <w:szCs w:val="32"/>
        </w:rPr>
        <w:t>、印刷费、咨询费、手续费、水费、电费、邮电费、取暖费、物业管理费、差旅费、因公出国（境）费、维修（护）费、租赁费、会议费、培训费、公务接待费、专用材料费、劳务费、委托业务费、工会经费、公务用车运行维护费、其他交通费用、税金及附加费用、其他商品和服务支出、办公设备购置、专用设备购置、大型修缮、信息网络及软件购置更新、其他资本性支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color w:val="0000FF"/>
          <w:kern w:val="0"/>
          <w:sz w:val="32"/>
          <w:szCs w:val="32"/>
          <w:highlight w:val="magenta"/>
          <w:lang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七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、支出预算经济分类情况说明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按照《财政部关于印发&lt;支出经济分类科目改革方案&gt;的通知》（财预〔2017〕98号）要求，从2018年起全面实施支出经济分类科目改革，根据政府预算管理和部门预算管理的不同特点，分设部门预算支出经济分类科目和政府预算支出经济分类科目，两套科目之间保持对应关系。为适应改革要求，我单位《支出经济分类汇总表》按两套经济分类科目分别反映不同资金来源的全部预算支出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="0" w:leftChars="0"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“三公”经费支出预算情况说明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我单位在该预算年度内未发生“三公”经费支出。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九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、政府性基金预算支出预算情况说明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2022年没有政府性基金预算拨款收入，也没有政府性基金预算安排的支出，故无数据情况说明。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十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、其他重要事项的情况说明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（一）机关运行经费支出情况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罗山县文化广电和旅游局2022年</w:t>
      </w:r>
      <w:r>
        <w:rPr>
          <w:rFonts w:ascii="仿宋" w:hAnsi="仿宋" w:eastAsia="仿宋" w:cs="宋体"/>
          <w:kern w:val="0"/>
          <w:sz w:val="32"/>
          <w:szCs w:val="32"/>
        </w:rPr>
        <w:t>机关运行经费支出预算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5.30</w:t>
      </w:r>
      <w:r>
        <w:rPr>
          <w:rFonts w:ascii="仿宋" w:hAnsi="仿宋" w:eastAsia="仿宋" w:cs="宋体"/>
          <w:kern w:val="0"/>
          <w:sz w:val="32"/>
          <w:szCs w:val="32"/>
        </w:rPr>
        <w:t>万元，主要保障</w:t>
      </w:r>
      <w:r>
        <w:rPr>
          <w:rFonts w:hint="eastAsia" w:ascii="仿宋" w:hAnsi="仿宋" w:eastAsia="仿宋" w:cs="宋体"/>
          <w:kern w:val="0"/>
          <w:sz w:val="32"/>
          <w:szCs w:val="32"/>
        </w:rPr>
        <w:t>机构</w:t>
      </w:r>
      <w:r>
        <w:rPr>
          <w:rFonts w:ascii="仿宋" w:hAnsi="仿宋" w:eastAsia="仿宋" w:cs="宋体"/>
          <w:kern w:val="0"/>
          <w:sz w:val="32"/>
          <w:szCs w:val="32"/>
        </w:rPr>
        <w:t>正常运转及正常履职需要</w:t>
      </w:r>
      <w:r>
        <w:rPr>
          <w:rFonts w:hint="eastAsia" w:ascii="仿宋" w:hAnsi="仿宋" w:eastAsia="仿宋" w:cs="宋体"/>
          <w:kern w:val="0"/>
          <w:sz w:val="32"/>
          <w:szCs w:val="32"/>
        </w:rPr>
        <w:t>，比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宋体"/>
          <w:kern w:val="0"/>
          <w:sz w:val="32"/>
          <w:szCs w:val="32"/>
        </w:rPr>
        <w:t>减少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2.04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27.79</w:t>
      </w:r>
      <w:r>
        <w:rPr>
          <w:rFonts w:hint="eastAsia" w:ascii="仿宋" w:hAnsi="仿宋" w:eastAsia="仿宋" w:cs="宋体"/>
          <w:kern w:val="0"/>
          <w:sz w:val="32"/>
          <w:szCs w:val="32"/>
        </w:rPr>
        <w:t>%，主要原因：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2022年代扣了整个部门的党报党刊费用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（二）政府采购支出情况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政府采购预算安排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万元、政府采购工程预算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万元、政府采购服务预算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（三）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绩效目标设置情况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我</w:t>
      </w:r>
      <w:r>
        <w:rPr>
          <w:rFonts w:hint="eastAsia" w:ascii="仿宋" w:hAnsi="仿宋" w:eastAsia="仿宋" w:cs="宋体"/>
          <w:kern w:val="0"/>
          <w:sz w:val="32"/>
          <w:szCs w:val="32"/>
        </w:rPr>
        <w:t>单位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宋体"/>
          <w:kern w:val="0"/>
          <w:sz w:val="32"/>
          <w:szCs w:val="32"/>
        </w:rPr>
        <w:t>预算项目均按要求编制了绩效目标，从项目产出、项目效益、满意度等方面设置了绩效目标，综合反映项目预期完成的数量、实效、质量，预期达到的社会经济效益、可持续影响以及对象满意度等情况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（四）国有资产占用情况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</w:t>
      </w:r>
      <w:r>
        <w:rPr>
          <w:rFonts w:ascii="仿宋" w:hAnsi="仿宋" w:eastAsia="仿宋" w:cs="宋体"/>
          <w:kern w:val="0"/>
          <w:sz w:val="32"/>
          <w:szCs w:val="32"/>
        </w:rPr>
        <w:t>年期末，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罗山县文化广电和旅游局</w:t>
      </w:r>
      <w:r>
        <w:rPr>
          <w:rFonts w:ascii="仿宋" w:hAnsi="仿宋" w:eastAsia="仿宋" w:cs="宋体"/>
          <w:kern w:val="0"/>
          <w:sz w:val="32"/>
          <w:szCs w:val="32"/>
        </w:rPr>
        <w:t>共有车辆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辆，其中：一般公务用车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辆</w:t>
      </w:r>
      <w:r>
        <w:rPr>
          <w:rFonts w:hint="eastAsia" w:ascii="仿宋" w:hAnsi="仿宋" w:eastAsia="仿宋" w:cs="宋体"/>
          <w:kern w:val="0"/>
          <w:sz w:val="32"/>
          <w:szCs w:val="32"/>
        </w:rPr>
        <w:t>、一般执法执勤用车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辆、其他用车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辆，其他用车主要是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辆、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辆</w:t>
      </w:r>
      <w:r>
        <w:rPr>
          <w:rFonts w:ascii="仿宋" w:hAnsi="仿宋" w:eastAsia="仿宋" w:cs="宋体"/>
          <w:kern w:val="0"/>
          <w:sz w:val="32"/>
          <w:szCs w:val="32"/>
        </w:rPr>
        <w:t>；单价50万元以上通用设备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套，</w:t>
      </w:r>
      <w:r>
        <w:rPr>
          <w:rFonts w:ascii="仿宋" w:hAnsi="仿宋" w:eastAsia="仿宋" w:cs="宋体"/>
          <w:kern w:val="0"/>
          <w:sz w:val="32"/>
          <w:szCs w:val="32"/>
        </w:rPr>
        <w:t>单位价值100万元以上专用设备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套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（五）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val="en-US" w:eastAsia="zh-CN"/>
        </w:rPr>
        <w:t>2022年无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专项</w:t>
      </w:r>
      <w:r>
        <w:rPr>
          <w:rFonts w:ascii="仿宋" w:hAnsi="仿宋" w:eastAsia="仿宋" w:cs="宋体"/>
          <w:b/>
          <w:bCs/>
          <w:kern w:val="0"/>
          <w:sz w:val="32"/>
          <w:szCs w:val="32"/>
        </w:rPr>
        <w:t>转移支付项目情况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罗山县文化广电和旅游局</w:t>
      </w:r>
      <w:r>
        <w:rPr>
          <w:rFonts w:hint="eastAsia" w:ascii="仿宋" w:hAnsi="仿宋" w:eastAsia="仿宋" w:cs="宋体"/>
          <w:kern w:val="0"/>
          <w:sz w:val="32"/>
          <w:szCs w:val="32"/>
        </w:rPr>
        <w:t>2022年无专项转移支付项目。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第三部分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名词解释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楷体" w:hAnsi="楷体" w:eastAsia="楷体" w:cs="宋体"/>
          <w:b/>
          <w:kern w:val="0"/>
          <w:sz w:val="32"/>
          <w:szCs w:val="32"/>
        </w:rPr>
        <w:t>一、财政拨款收入：</w:t>
      </w:r>
      <w:r>
        <w:rPr>
          <w:rFonts w:ascii="仿宋" w:hAnsi="仿宋" w:eastAsia="仿宋" w:cs="宋体"/>
          <w:kern w:val="0"/>
          <w:sz w:val="32"/>
          <w:szCs w:val="32"/>
        </w:rPr>
        <w:t>是指</w:t>
      </w:r>
      <w:r>
        <w:rPr>
          <w:rFonts w:hint="eastAsia" w:ascii="仿宋" w:hAnsi="仿宋" w:eastAsia="仿宋" w:cs="宋体"/>
          <w:kern w:val="0"/>
          <w:sz w:val="32"/>
          <w:szCs w:val="32"/>
        </w:rPr>
        <w:t>市</w:t>
      </w:r>
      <w:r>
        <w:rPr>
          <w:rFonts w:ascii="仿宋" w:hAnsi="仿宋" w:eastAsia="仿宋" w:cs="宋体"/>
          <w:kern w:val="0"/>
          <w:sz w:val="32"/>
          <w:szCs w:val="32"/>
        </w:rPr>
        <w:t>级财政当年拨付的资金。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楷体" w:hAnsi="楷体" w:eastAsia="楷体" w:cs="宋体"/>
          <w:b/>
          <w:kern w:val="0"/>
          <w:sz w:val="32"/>
          <w:szCs w:val="32"/>
        </w:rPr>
        <w:t>二、事业收入：</w:t>
      </w:r>
      <w:r>
        <w:rPr>
          <w:rFonts w:ascii="仿宋" w:hAnsi="仿宋" w:eastAsia="仿宋" w:cs="宋体"/>
          <w:kern w:val="0"/>
          <w:sz w:val="32"/>
          <w:szCs w:val="32"/>
        </w:rPr>
        <w:t>是指事业单位开展专业活动及辅助活动所取得的收入。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三</w:t>
      </w:r>
      <w:r>
        <w:rPr>
          <w:rFonts w:ascii="楷体" w:hAnsi="楷体" w:eastAsia="楷体" w:cs="宋体"/>
          <w:b/>
          <w:kern w:val="0"/>
          <w:sz w:val="32"/>
          <w:szCs w:val="32"/>
        </w:rPr>
        <w:t>、其他收入：</w:t>
      </w:r>
      <w:r>
        <w:rPr>
          <w:rFonts w:ascii="仿宋" w:hAnsi="仿宋" w:eastAsia="仿宋" w:cs="宋体"/>
          <w:kern w:val="0"/>
          <w:sz w:val="32"/>
          <w:szCs w:val="32"/>
        </w:rPr>
        <w:t>是指部门取得的除“财政拨款”、“事业收入”、“事业单位经营收入”等以外的收入。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四</w:t>
      </w:r>
      <w:r>
        <w:rPr>
          <w:rFonts w:ascii="楷体" w:hAnsi="楷体" w:eastAsia="楷体" w:cs="宋体"/>
          <w:b/>
          <w:kern w:val="0"/>
          <w:sz w:val="32"/>
          <w:szCs w:val="32"/>
        </w:rPr>
        <w:t>、用事业基金弥补收支差额：</w:t>
      </w:r>
      <w:r>
        <w:rPr>
          <w:rFonts w:ascii="仿宋" w:hAnsi="仿宋" w:eastAsia="仿宋" w:cs="宋体"/>
          <w:kern w:val="0"/>
          <w:sz w:val="32"/>
          <w:szCs w:val="32"/>
        </w:rPr>
        <w:t>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五</w:t>
      </w:r>
      <w:r>
        <w:rPr>
          <w:rFonts w:ascii="楷体" w:hAnsi="楷体" w:eastAsia="楷体" w:cs="宋体"/>
          <w:b/>
          <w:kern w:val="0"/>
          <w:sz w:val="32"/>
          <w:szCs w:val="32"/>
        </w:rPr>
        <w:t>、基本支出：</w:t>
      </w:r>
      <w:r>
        <w:rPr>
          <w:rFonts w:ascii="仿宋" w:hAnsi="仿宋" w:eastAsia="仿宋" w:cs="宋体"/>
          <w:kern w:val="0"/>
          <w:sz w:val="32"/>
          <w:szCs w:val="32"/>
        </w:rPr>
        <w:t>是指为保障机构正常运转、完成日常工作任务所必需的开支，其内容包括人员经费和日常公用经费两部分。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六</w:t>
      </w:r>
      <w:r>
        <w:rPr>
          <w:rFonts w:ascii="楷体" w:hAnsi="楷体" w:eastAsia="楷体" w:cs="宋体"/>
          <w:b/>
          <w:kern w:val="0"/>
          <w:sz w:val="32"/>
          <w:szCs w:val="32"/>
        </w:rPr>
        <w:t>、项目支出：</w:t>
      </w:r>
      <w:r>
        <w:rPr>
          <w:rFonts w:ascii="仿宋" w:hAnsi="仿宋" w:eastAsia="仿宋" w:cs="宋体"/>
          <w:kern w:val="0"/>
          <w:sz w:val="32"/>
          <w:szCs w:val="32"/>
        </w:rPr>
        <w:t>是指在基本支出之外，为完成特定的行政工作任务或事业发展目标所发生的支出。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七</w:t>
      </w:r>
      <w:r>
        <w:rPr>
          <w:rFonts w:ascii="楷体" w:hAnsi="楷体" w:eastAsia="楷体" w:cs="宋体"/>
          <w:b/>
          <w:kern w:val="0"/>
          <w:sz w:val="32"/>
          <w:szCs w:val="32"/>
        </w:rPr>
        <w:t>、“三公”经费：</w:t>
      </w:r>
      <w:r>
        <w:rPr>
          <w:rFonts w:ascii="仿宋" w:hAnsi="仿宋" w:eastAsia="仿宋" w:cs="宋体"/>
          <w:kern w:val="0"/>
          <w:sz w:val="32"/>
          <w:szCs w:val="32"/>
        </w:rPr>
        <w:t>是指纳入</w:t>
      </w:r>
      <w:r>
        <w:rPr>
          <w:rFonts w:hint="eastAsia" w:ascii="仿宋" w:hAnsi="仿宋" w:eastAsia="仿宋" w:cs="宋体"/>
          <w:kern w:val="0"/>
          <w:sz w:val="32"/>
          <w:szCs w:val="32"/>
        </w:rPr>
        <w:t>市</w:t>
      </w:r>
      <w:r>
        <w:rPr>
          <w:rFonts w:ascii="仿宋" w:hAnsi="仿宋" w:eastAsia="仿宋" w:cs="宋体"/>
          <w:kern w:val="0"/>
          <w:sz w:val="32"/>
          <w:szCs w:val="32"/>
        </w:rPr>
        <w:t>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八</w:t>
      </w:r>
      <w:r>
        <w:rPr>
          <w:rFonts w:ascii="楷体" w:hAnsi="楷体" w:eastAsia="楷体" w:cs="宋体"/>
          <w:b/>
          <w:kern w:val="0"/>
          <w:sz w:val="32"/>
          <w:szCs w:val="32"/>
        </w:rPr>
        <w:t>、机关运行经费：</w:t>
      </w:r>
      <w:r>
        <w:rPr>
          <w:rFonts w:ascii="仿宋" w:hAnsi="仿宋" w:eastAsia="仿宋" w:cs="宋体"/>
          <w:kern w:val="0"/>
          <w:sz w:val="32"/>
          <w:szCs w:val="32"/>
        </w:rPr>
        <w:t>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adjustRightInd w:val="0"/>
        <w:snapToGrid w:val="0"/>
        <w:spacing w:line="560" w:lineRule="exact"/>
        <w:ind w:firstLine="643" w:firstLineChars="200"/>
        <w:jc w:val="left"/>
        <w:rPr>
          <w:rFonts w:ascii="楷体" w:hAnsi="楷体" w:eastAsia="楷体" w:cs="宋体"/>
          <w:b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附件：</w:t>
      </w:r>
      <w:r>
        <w:fldChar w:fldCharType="begin"/>
      </w:r>
      <w:r>
        <w:instrText xml:space="preserve">HYPERLINK "http://www.haedu.gov.cn/UserFiles/File/201803/20180309144718540.doc" </w:instrText>
      </w:r>
      <w:r>
        <w:fldChar w:fldCharType="separate"/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罗山县文化广电和旅游局</w:t>
      </w:r>
      <w:r>
        <w:rPr>
          <w:rFonts w:hint="eastAsia"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年预算表</w:t>
      </w:r>
      <w:r>
        <w:fldChar w:fldCharType="end"/>
      </w:r>
    </w:p>
    <w:p>
      <w:pPr>
        <w:adjustRightInd w:val="0"/>
        <w:snapToGrid w:val="0"/>
        <w:spacing w:line="560" w:lineRule="exact"/>
        <w:ind w:left="5278" w:leftChars="304" w:hanging="4640" w:hangingChars="145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left="5267" w:leftChars="2508" w:firstLine="320" w:firstLineChars="1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ascii="仿宋" w:hAnsi="仿宋" w:eastAsia="仿宋"/>
        <w:sz w:val="32"/>
        <w:szCs w:val="32"/>
        <w:lang w:val="zh-CN"/>
      </w:rPr>
      <w:t xml:space="preserve"> </w:t>
    </w:r>
    <w:r>
      <w:rPr>
        <w:rFonts w:ascii="仿宋" w:hAnsi="仿宋" w:eastAsia="仿宋"/>
        <w:b/>
        <w:bCs/>
        <w:sz w:val="32"/>
        <w:szCs w:val="32"/>
      </w:rPr>
      <w:fldChar w:fldCharType="begin"/>
    </w:r>
    <w:r>
      <w:rPr>
        <w:rFonts w:ascii="仿宋" w:hAnsi="仿宋" w:eastAsia="仿宋"/>
        <w:b/>
        <w:bCs/>
        <w:sz w:val="32"/>
        <w:szCs w:val="32"/>
      </w:rPr>
      <w:instrText xml:space="preserve">PAGE</w:instrText>
    </w:r>
    <w:r>
      <w:rPr>
        <w:rFonts w:ascii="仿宋" w:hAnsi="仿宋" w:eastAsia="仿宋"/>
        <w:b/>
        <w:bCs/>
        <w:sz w:val="32"/>
        <w:szCs w:val="32"/>
      </w:rPr>
      <w:fldChar w:fldCharType="separate"/>
    </w:r>
    <w:r>
      <w:rPr>
        <w:rFonts w:ascii="仿宋" w:hAnsi="仿宋" w:eastAsia="仿宋"/>
        <w:b/>
        <w:bCs/>
        <w:sz w:val="32"/>
        <w:szCs w:val="32"/>
      </w:rPr>
      <w:t>1</w:t>
    </w:r>
    <w:r>
      <w:rPr>
        <w:rFonts w:ascii="仿宋" w:hAnsi="仿宋" w:eastAsia="仿宋"/>
        <w:b/>
        <w:bCs/>
        <w:sz w:val="32"/>
        <w:szCs w:val="32"/>
      </w:rPr>
      <w:fldChar w:fldCharType="end"/>
    </w:r>
    <w:r>
      <w:rPr>
        <w:rFonts w:ascii="仿宋" w:hAnsi="仿宋" w:eastAsia="仿宋"/>
        <w:sz w:val="32"/>
        <w:szCs w:val="32"/>
        <w:lang w:val="zh-CN"/>
      </w:rPr>
      <w:t xml:space="preserve"> / </w:t>
    </w:r>
    <w:r>
      <w:rPr>
        <w:rFonts w:ascii="仿宋" w:hAnsi="仿宋" w:eastAsia="仿宋"/>
        <w:b/>
        <w:bCs/>
        <w:sz w:val="32"/>
        <w:szCs w:val="32"/>
      </w:rPr>
      <w:fldChar w:fldCharType="begin"/>
    </w:r>
    <w:r>
      <w:rPr>
        <w:rFonts w:ascii="仿宋" w:hAnsi="仿宋" w:eastAsia="仿宋"/>
        <w:b/>
        <w:bCs/>
        <w:sz w:val="32"/>
        <w:szCs w:val="32"/>
      </w:rPr>
      <w:instrText xml:space="preserve">NUMPAGES</w:instrText>
    </w:r>
    <w:r>
      <w:rPr>
        <w:rFonts w:ascii="仿宋" w:hAnsi="仿宋" w:eastAsia="仿宋"/>
        <w:b/>
        <w:bCs/>
        <w:sz w:val="32"/>
        <w:szCs w:val="32"/>
      </w:rPr>
      <w:fldChar w:fldCharType="separate"/>
    </w:r>
    <w:r>
      <w:rPr>
        <w:rFonts w:ascii="仿宋" w:hAnsi="仿宋" w:eastAsia="仿宋"/>
        <w:b/>
        <w:bCs/>
        <w:sz w:val="32"/>
        <w:szCs w:val="32"/>
      </w:rPr>
      <w:t>10</w:t>
    </w:r>
    <w:r>
      <w:rPr>
        <w:rFonts w:ascii="仿宋" w:hAnsi="仿宋" w:eastAsia="仿宋"/>
        <w:b/>
        <w:bCs/>
        <w:sz w:val="32"/>
        <w:szCs w:val="32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F8A87E"/>
    <w:multiLevelType w:val="singleLevel"/>
    <w:tmpl w:val="83F8A87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3247961"/>
    <w:multiLevelType w:val="singleLevel"/>
    <w:tmpl w:val="F324796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YmYyNmVjZDlhNzhhZTU0MmQ0OGM2MTM2N2RmYWIifQ=="/>
  </w:docVars>
  <w:rsids>
    <w:rsidRoot w:val="00000000"/>
    <w:rsid w:val="01910B93"/>
    <w:rsid w:val="09364543"/>
    <w:rsid w:val="0A6F1B02"/>
    <w:rsid w:val="0F622F3C"/>
    <w:rsid w:val="15352FA4"/>
    <w:rsid w:val="1635775C"/>
    <w:rsid w:val="1C34759A"/>
    <w:rsid w:val="1CC76504"/>
    <w:rsid w:val="1D9C09E6"/>
    <w:rsid w:val="1E940EEE"/>
    <w:rsid w:val="1F310DAE"/>
    <w:rsid w:val="2069348A"/>
    <w:rsid w:val="23E80A42"/>
    <w:rsid w:val="24133DF1"/>
    <w:rsid w:val="26B86B17"/>
    <w:rsid w:val="29C8276C"/>
    <w:rsid w:val="2B341655"/>
    <w:rsid w:val="2BCB7B04"/>
    <w:rsid w:val="2FA21001"/>
    <w:rsid w:val="32EB6CD2"/>
    <w:rsid w:val="3F095A68"/>
    <w:rsid w:val="414152C5"/>
    <w:rsid w:val="424119A9"/>
    <w:rsid w:val="46FC6FF6"/>
    <w:rsid w:val="49F61DEB"/>
    <w:rsid w:val="506D0E6D"/>
    <w:rsid w:val="50AD2EA7"/>
    <w:rsid w:val="58C85867"/>
    <w:rsid w:val="5F552F7D"/>
    <w:rsid w:val="619228D0"/>
    <w:rsid w:val="642B2662"/>
    <w:rsid w:val="67C0189B"/>
    <w:rsid w:val="68707874"/>
    <w:rsid w:val="6A014E5B"/>
    <w:rsid w:val="6C9854C4"/>
    <w:rsid w:val="70D03E65"/>
    <w:rsid w:val="73506BDD"/>
    <w:rsid w:val="7994240D"/>
    <w:rsid w:val="79F0046B"/>
    <w:rsid w:val="7B633C51"/>
    <w:rsid w:val="7DA344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Date"/>
    <w:basedOn w:val="1"/>
    <w:next w:val="1"/>
    <w:link w:val="14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 Char"/>
    <w:link w:val="6"/>
    <w:qFormat/>
    <w:uiPriority w:val="99"/>
    <w:rPr>
      <w:sz w:val="18"/>
      <w:szCs w:val="18"/>
    </w:rPr>
  </w:style>
  <w:style w:type="character" w:customStyle="1" w:styleId="12">
    <w:name w:val="页脚 Char Char"/>
    <w:link w:val="5"/>
    <w:qFormat/>
    <w:uiPriority w:val="99"/>
    <w:rPr>
      <w:sz w:val="18"/>
      <w:szCs w:val="18"/>
    </w:rPr>
  </w:style>
  <w:style w:type="character" w:customStyle="1" w:styleId="13">
    <w:name w:val="批注框文本 Char Char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4">
    <w:name w:val="日期 Char Char"/>
    <w:link w:val="3"/>
    <w:qFormat/>
    <w:uiPriority w:val="0"/>
    <w:rPr>
      <w:rFonts w:ascii="Calibri" w:hAnsi="Calibri" w:cs="黑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3728</Words>
  <Characters>3937</Characters>
  <Lines>29</Lines>
  <Paragraphs>8</Paragraphs>
  <TotalTime>1</TotalTime>
  <ScaleCrop>false</ScaleCrop>
  <LinksUpToDate>false</LinksUpToDate>
  <CharactersWithSpaces>3965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2018-03-19T07:31:00Z</dcterms:created>
  <dc:creator>预算</dc:creator>
  <cp:lastModifiedBy>春天的故事</cp:lastModifiedBy>
  <cp:lastPrinted>2020-06-04T09:09:00Z</cp:lastPrinted>
  <dcterms:modified xsi:type="dcterms:W3CDTF">2023-04-14T03:40:14Z</dcterms:modified>
  <dc:title>看过后删除的备注：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1329B1ECB7B1419B814C1CE4D4A5EBBB</vt:lpwstr>
  </property>
</Properties>
</file>