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hint="default" w:ascii="黑体" w:hAnsi="黑体" w:eastAsia="黑体" w:cs="方正小标宋简体"/>
          <w:sz w:val="44"/>
          <w:szCs w:val="44"/>
          <w:lang w:val="en-US" w:eastAsia="zh-CN"/>
        </w:rPr>
      </w:pPr>
      <w:permStart w:id="0" w:edGrp="everyone"/>
      <w:permEnd w:id="0"/>
      <w:r>
        <w:rPr>
          <w:rFonts w:hint="eastAsia" w:ascii="黑体" w:hAnsi="黑体" w:eastAsia="黑体" w:cs="方正小标宋简体"/>
          <w:sz w:val="44"/>
          <w:szCs w:val="44"/>
          <w:lang w:val="en-US" w:eastAsia="zh-CN"/>
        </w:rPr>
        <w:t>2022年度</w:t>
      </w:r>
    </w:p>
    <w:p>
      <w:pPr>
        <w:jc w:val="center"/>
        <w:rPr>
          <w:rFonts w:hint="eastAsia" w:ascii="黑体" w:hAnsi="黑体" w:eastAsia="黑体" w:cs="方正小标宋简体"/>
          <w:sz w:val="44"/>
          <w:szCs w:val="44"/>
          <w:lang w:val="en-US" w:eastAsia="zh-CN"/>
        </w:rPr>
      </w:pPr>
      <w:bookmarkStart w:id="0" w:name="PO_title1"/>
      <w:r>
        <w:rPr>
          <w:rFonts w:hint="eastAsia" w:ascii="黑体" w:hAnsi="黑体" w:eastAsia="黑体" w:cs="方正小标宋简体"/>
          <w:sz w:val="44"/>
          <w:szCs w:val="44"/>
        </w:rPr>
        <w:t xml:space="preserve"> </w:t>
      </w:r>
      <w:r>
        <w:rPr>
          <w:rFonts w:hint="eastAsia" w:ascii="黑体" w:hAnsi="黑体" w:eastAsia="黑体" w:cs="方正小标宋简体"/>
          <w:sz w:val="44"/>
          <w:szCs w:val="44"/>
          <w:lang w:val="en-US" w:eastAsia="zh-CN"/>
        </w:rPr>
        <w:t>罗山县人力资源和社会保障局</w:t>
      </w:r>
      <w:r>
        <w:rPr>
          <w:rFonts w:hint="eastAsia" w:ascii="黑体" w:hAnsi="黑体" w:eastAsia="黑体" w:cs="方正小标宋简体"/>
          <w:sz w:val="11"/>
          <w:szCs w:val="11"/>
        </w:rPr>
        <w:t xml:space="preserve"> </w:t>
      </w:r>
      <w:bookmarkEnd w:id="0"/>
      <w:r>
        <w:rPr>
          <w:rFonts w:hint="eastAsia" w:ascii="黑体" w:hAnsi="黑体" w:eastAsia="黑体" w:cs="方正小标宋简体"/>
          <w:sz w:val="44"/>
          <w:szCs w:val="44"/>
        </w:rPr>
        <w:t>预算</w:t>
      </w:r>
      <w:r>
        <w:rPr>
          <w:rFonts w:hint="eastAsia" w:ascii="黑体" w:hAnsi="黑体" w:eastAsia="黑体" w:cs="方正小标宋简体"/>
          <w:sz w:val="44"/>
          <w:szCs w:val="44"/>
          <w:lang w:val="en-US" w:eastAsia="zh-CN"/>
        </w:rPr>
        <w:t>说明</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bCs/>
          <w:sz w:val="32"/>
          <w:szCs w:val="32"/>
          <w:lang w:val="en-US" w:eastAsia="zh-CN"/>
        </w:rPr>
        <w:t>罗山县人力资源和社会保障局</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bCs/>
          <w:sz w:val="32"/>
          <w:szCs w:val="32"/>
          <w:lang w:val="en-US" w:eastAsia="zh-CN"/>
        </w:rPr>
        <w:t>罗山县人力资源和社会保障局</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年度预算情况说明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bCs/>
          <w:sz w:val="32"/>
          <w:szCs w:val="32"/>
          <w:lang w:val="en-US" w:eastAsia="zh-CN"/>
        </w:rPr>
        <w:t>罗山县人力资源和社会保障局</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年度</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、项目支出表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sz w:val="32"/>
          <w:szCs w:val="32"/>
          <w:lang w:val="en-US" w:eastAsia="zh-CN"/>
        </w:rPr>
        <w:t>财政支出</w:t>
      </w:r>
      <w:r>
        <w:rPr>
          <w:rFonts w:hint="eastAsia" w:ascii="黑体" w:hAnsi="黑体" w:eastAsia="黑体" w:cs="黑体"/>
          <w:sz w:val="32"/>
          <w:szCs w:val="32"/>
        </w:rPr>
        <w:t>绩效目标表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tabs>
          <w:tab w:val="left" w:pos="768"/>
        </w:tabs>
        <w:bidi w:val="0"/>
        <w:jc w:val="left"/>
        <w:rPr>
          <w:rFonts w:hint="eastAsia"/>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方正小标宋简体"/>
          <w:sz w:val="44"/>
          <w:szCs w:val="44"/>
          <w:lang w:val="en-US" w:eastAsia="zh-CN"/>
        </w:rPr>
        <w:t>罗山县人力资源和社会保障局</w:t>
      </w:r>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widowControl/>
        <w:shd w:val="clear" w:color="auto" w:fill="FFFFFF"/>
        <w:spacing w:line="580" w:lineRule="exact"/>
        <w:ind w:firstLine="60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0"/>
          <w:szCs w:val="30"/>
          <w:lang w:val="en-US" w:eastAsia="zh-CN"/>
        </w:rPr>
        <w:t>（一）贯</w:t>
      </w:r>
      <w:r>
        <w:rPr>
          <w:rFonts w:hint="eastAsia" w:ascii="仿宋_GB2312" w:hAnsi="仿宋" w:eastAsia="仿宋_GB2312"/>
          <w:snapToGrid w:val="0"/>
          <w:kern w:val="0"/>
          <w:sz w:val="32"/>
          <w:szCs w:val="32"/>
        </w:rPr>
        <w:t>彻执行国家、省、市人力资源和社会保障法律、法规、政策；拟订全县人力资源和社会保障事业发展规划、政策措施，并组织实施和监督检查。</w:t>
      </w:r>
    </w:p>
    <w:p>
      <w:pPr>
        <w:widowControl/>
        <w:shd w:val="clear" w:color="auto" w:fill="FFFFFF"/>
        <w:spacing w:line="580" w:lineRule="exact"/>
        <w:ind w:firstLine="60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0"/>
          <w:szCs w:val="30"/>
          <w:lang w:val="en-US" w:eastAsia="zh-CN"/>
        </w:rPr>
        <w:t>（二）</w:t>
      </w:r>
      <w:r>
        <w:rPr>
          <w:rFonts w:hint="eastAsia" w:ascii="仿宋_GB2312" w:hAnsi="仿宋" w:eastAsia="仿宋_GB2312"/>
          <w:snapToGrid w:val="0"/>
          <w:kern w:val="0"/>
          <w:sz w:val="32"/>
          <w:szCs w:val="32"/>
        </w:rPr>
        <w:t>建立覆盖全县城乡的社会保障体系。统筹拟订全县城乡社会保险及其补充保险实施意见和标准，组织拟订全县统一的社会保险关系转续办法，统筹拟订全县机关企事业单位基本养老保险实施意见，会同有关部门拟订全县社会保险及其补充保险基金管理和监督制度，编制全县社会保险基金预决算草案。</w:t>
      </w:r>
    </w:p>
    <w:p>
      <w:pPr>
        <w:widowControl/>
        <w:shd w:val="clear" w:color="auto" w:fill="FFFFFF"/>
        <w:spacing w:line="580" w:lineRule="exact"/>
        <w:ind w:firstLine="600" w:firstLineChars="200"/>
        <w:jc w:val="left"/>
        <w:rPr>
          <w:rFonts w:hint="eastAsia" w:ascii="仿宋_GB2312" w:hAnsi="仿宋" w:eastAsia="仿宋_GB2312"/>
          <w:snapToGrid w:val="0"/>
          <w:kern w:val="0"/>
          <w:sz w:val="32"/>
          <w:szCs w:val="32"/>
          <w:lang w:eastAsia="zh-CN"/>
        </w:rPr>
      </w:pPr>
      <w:r>
        <w:rPr>
          <w:rFonts w:hint="eastAsia" w:ascii="仿宋_GB2312" w:hAnsi="仿宋_GB2312" w:eastAsia="仿宋_GB2312" w:cs="仿宋_GB2312"/>
          <w:color w:val="000000"/>
          <w:sz w:val="30"/>
          <w:szCs w:val="30"/>
          <w:lang w:val="en-US" w:eastAsia="zh-CN"/>
        </w:rPr>
        <w:t>（三）</w:t>
      </w:r>
      <w:r>
        <w:rPr>
          <w:rFonts w:hint="eastAsia" w:ascii="仿宋_GB2312" w:hAnsi="仿宋" w:eastAsia="仿宋_GB2312"/>
          <w:snapToGrid w:val="0"/>
          <w:kern w:val="0"/>
          <w:sz w:val="32"/>
          <w:szCs w:val="32"/>
        </w:rPr>
        <w:t>同有关部门指导全县事业单位人事制度改革，拟订全县事业单位人员和机关工勤人员管理实施意见；参与人才管理工作；制定全县专业技术人员管理和继续教育政策措施；负责全县职称制度改革工作</w:t>
      </w:r>
      <w:r>
        <w:rPr>
          <w:rFonts w:hint="eastAsia" w:ascii="仿宋_GB2312" w:hAnsi="仿宋" w:eastAsia="仿宋_GB2312"/>
          <w:snapToGrid w:val="0"/>
          <w:kern w:val="0"/>
          <w:sz w:val="32"/>
          <w:szCs w:val="32"/>
          <w:lang w:eastAsia="zh-CN"/>
        </w:rPr>
        <w:t>。</w:t>
      </w:r>
    </w:p>
    <w:p>
      <w:pPr>
        <w:widowControl/>
        <w:shd w:val="clear" w:color="auto" w:fill="FFFFFF"/>
        <w:spacing w:line="580" w:lineRule="exact"/>
        <w:ind w:firstLine="600" w:firstLineChars="200"/>
        <w:jc w:val="left"/>
        <w:rPr>
          <w:rFonts w:hint="eastAsia" w:ascii="仿宋_GB2312" w:hAnsi="仿宋" w:eastAsia="仿宋_GB2312"/>
          <w:snapToGrid w:val="0"/>
          <w:kern w:val="0"/>
          <w:sz w:val="30"/>
          <w:szCs w:val="30"/>
        </w:rPr>
      </w:pPr>
      <w:r>
        <w:rPr>
          <w:rFonts w:hint="eastAsia" w:ascii="仿宋_GB2312" w:hAnsi="仿宋" w:eastAsia="仿宋_GB2312"/>
          <w:snapToGrid w:val="0"/>
          <w:kern w:val="0"/>
          <w:sz w:val="30"/>
          <w:szCs w:val="30"/>
          <w:lang w:val="en-US" w:eastAsia="zh-CN"/>
        </w:rPr>
        <w:t>（四）</w:t>
      </w:r>
      <w:r>
        <w:rPr>
          <w:rFonts w:hint="eastAsia" w:ascii="仿宋_GB2312" w:hAnsi="仿宋" w:eastAsia="仿宋_GB2312"/>
          <w:snapToGrid w:val="0"/>
          <w:kern w:val="0"/>
          <w:sz w:val="32"/>
          <w:szCs w:val="32"/>
        </w:rPr>
        <w:t>拟订全县人事、劳动争议调解仲裁制度和劳动关系实施意见，完善劳动关系协调机制；依据国家特殊劳动保护政策制定实施细则并监督实施；组织实施劳动保障监察，协调劳动者维权工作，依法查处重大案件。</w:t>
      </w:r>
    </w:p>
    <w:p>
      <w:pPr>
        <w:widowControl/>
        <w:shd w:val="clear" w:color="auto" w:fill="FFFFFF"/>
        <w:spacing w:line="580" w:lineRule="exact"/>
        <w:ind w:firstLine="600" w:firstLineChars="200"/>
        <w:jc w:val="left"/>
        <w:rPr>
          <w:rFonts w:hint="eastAsia" w:ascii="仿宋_GB2312" w:hAnsi="仿宋_GB2312" w:eastAsia="仿宋_GB2312" w:cs="仿宋_GB2312"/>
          <w:color w:val="000000"/>
          <w:sz w:val="30"/>
          <w:szCs w:val="30"/>
          <w:lang w:val="en-US" w:eastAsia="zh-CN"/>
        </w:rPr>
      </w:pPr>
      <w:r>
        <w:rPr>
          <w:rFonts w:hint="eastAsia" w:ascii="仿宋_GB2312" w:hAnsi="仿宋" w:eastAsia="仿宋_GB2312"/>
          <w:snapToGrid w:val="0"/>
          <w:kern w:val="0"/>
          <w:sz w:val="30"/>
          <w:szCs w:val="30"/>
          <w:lang w:val="en-US" w:eastAsia="zh-CN"/>
        </w:rPr>
        <w:t>（五）</w:t>
      </w:r>
      <w:r>
        <w:rPr>
          <w:rFonts w:hint="eastAsia" w:ascii="仿宋_GB2312" w:hAnsi="仿宋" w:eastAsia="仿宋_GB2312"/>
          <w:snapToGrid w:val="0"/>
          <w:kern w:val="0"/>
          <w:sz w:val="32"/>
          <w:szCs w:val="32"/>
        </w:rPr>
        <w:t>拟订全县统筹城乡的就业发展规划和实施意见；完善公共就业服务体系和公共创业服务体系；建立健全就业援助制度；完善职业资格制度；统筹建立面向城乡劳动者的职业培训制度，牵头拟订高校毕业生就业工作意见；会同有关部门拟订高技能人才、农村实用人才培养和激励政策措施。</w:t>
      </w:r>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napToGrid w:val="0"/>
          <w:kern w:val="0"/>
          <w:sz w:val="32"/>
          <w:szCs w:val="32"/>
        </w:rPr>
      </w:pPr>
      <w:bookmarkStart w:id="1" w:name="PO_part1Responsibilities4"/>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一）</w:t>
      </w:r>
      <w:r>
        <w:rPr>
          <w:rFonts w:hint="eastAsia" w:ascii="仿宋_GB2312" w:hAnsi="Times New Roman" w:eastAsia="仿宋_GB2312"/>
          <w:sz w:val="32"/>
          <w:szCs w:val="32"/>
        </w:rPr>
        <w:t xml:space="preserve"> </w:t>
      </w:r>
      <w:bookmarkEnd w:id="1"/>
      <w:r>
        <w:rPr>
          <w:rFonts w:hint="eastAsia" w:ascii="仿宋_GB2312" w:hAnsi="仿宋" w:eastAsia="仿宋_GB2312"/>
          <w:snapToGrid w:val="0"/>
          <w:kern w:val="0"/>
          <w:sz w:val="32"/>
          <w:szCs w:val="32"/>
        </w:rPr>
        <w:t>局机关内设1</w:t>
      </w:r>
      <w:r>
        <w:rPr>
          <w:rFonts w:hint="eastAsia" w:ascii="仿宋_GB2312" w:hAnsi="仿宋" w:eastAsia="仿宋_GB2312"/>
          <w:snapToGrid w:val="0"/>
          <w:kern w:val="0"/>
          <w:sz w:val="32"/>
          <w:szCs w:val="32"/>
          <w:lang w:val="en-US" w:eastAsia="zh-CN"/>
        </w:rPr>
        <w:t>3</w:t>
      </w:r>
      <w:r>
        <w:rPr>
          <w:rFonts w:hint="eastAsia" w:ascii="仿宋_GB2312" w:hAnsi="仿宋" w:eastAsia="仿宋_GB2312"/>
          <w:snapToGrid w:val="0"/>
          <w:kern w:val="0"/>
          <w:sz w:val="32"/>
          <w:szCs w:val="32"/>
        </w:rPr>
        <w:t>个股室：办公室、规划财务股、政策法规和调解仲裁管理股、就业促进股、人力资源市场股、培训教育股、事业单位人事管理股、劳</w:t>
      </w:r>
      <w:r>
        <w:rPr>
          <w:rFonts w:hint="eastAsia" w:ascii="仿宋_GB2312" w:hAnsi="仿宋" w:eastAsia="仿宋_GB2312"/>
          <w:snapToGrid w:val="0"/>
          <w:kern w:val="0"/>
          <w:sz w:val="32"/>
          <w:szCs w:val="32"/>
          <w:lang w:eastAsia="zh-CN"/>
        </w:rPr>
        <w:t>动就业</w:t>
      </w:r>
      <w:r>
        <w:rPr>
          <w:rFonts w:hint="eastAsia" w:ascii="仿宋_GB2312" w:hAnsi="仿宋" w:eastAsia="仿宋_GB2312"/>
          <w:snapToGrid w:val="0"/>
          <w:kern w:val="0"/>
          <w:sz w:val="32"/>
          <w:szCs w:val="32"/>
        </w:rPr>
        <w:t>管理</w:t>
      </w:r>
      <w:r>
        <w:rPr>
          <w:rFonts w:hint="eastAsia" w:ascii="仿宋_GB2312" w:hAnsi="仿宋" w:eastAsia="仿宋_GB2312"/>
          <w:snapToGrid w:val="0"/>
          <w:kern w:val="0"/>
          <w:sz w:val="32"/>
          <w:szCs w:val="32"/>
          <w:lang w:eastAsia="zh-CN"/>
        </w:rPr>
        <w:t>服务中心</w:t>
      </w:r>
      <w:r>
        <w:rPr>
          <w:rFonts w:hint="eastAsia" w:ascii="仿宋_GB2312" w:hAnsi="仿宋" w:eastAsia="仿宋_GB2312"/>
          <w:snapToGrid w:val="0"/>
          <w:kern w:val="0"/>
          <w:sz w:val="32"/>
          <w:szCs w:val="32"/>
        </w:rPr>
        <w:t>、职称股、工资福利和离退休人员管理股、社会保险股、社会保险基金监督股、劳动保障监察股。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w:t>
      </w:r>
      <w:r>
        <w:rPr>
          <w:rFonts w:hint="eastAsia" w:ascii="仿宋_GB2312" w:hAnsi="仿宋" w:eastAsia="仿宋_GB2312"/>
          <w:snapToGrid w:val="0"/>
          <w:kern w:val="0"/>
          <w:sz w:val="32"/>
          <w:szCs w:val="32"/>
          <w:lang w:val="en-US" w:eastAsia="zh-CN"/>
        </w:rPr>
        <w:t>二</w:t>
      </w:r>
      <w:r>
        <w:rPr>
          <w:rFonts w:hint="eastAsia" w:ascii="仿宋_GB2312" w:hAnsi="仿宋" w:eastAsia="仿宋_GB2312"/>
          <w:snapToGrid w:val="0"/>
          <w:kern w:val="0"/>
          <w:sz w:val="32"/>
          <w:szCs w:val="32"/>
        </w:rPr>
        <w:t>）人员构成情况：罗山县人力资源和社会保障局共有编制</w:t>
      </w:r>
      <w:r>
        <w:rPr>
          <w:rFonts w:hint="eastAsia" w:ascii="仿宋_GB2312" w:hAnsi="仿宋" w:eastAsia="仿宋_GB2312"/>
          <w:snapToGrid w:val="0"/>
          <w:kern w:val="0"/>
          <w:sz w:val="32"/>
          <w:szCs w:val="32"/>
          <w:lang w:val="en-US" w:eastAsia="zh-CN"/>
        </w:rPr>
        <w:t>24</w:t>
      </w:r>
      <w:r>
        <w:rPr>
          <w:rFonts w:hint="eastAsia" w:ascii="仿宋_GB2312" w:hAnsi="仿宋" w:eastAsia="仿宋_GB2312"/>
          <w:snapToGrid w:val="0"/>
          <w:kern w:val="0"/>
          <w:sz w:val="32"/>
          <w:szCs w:val="32"/>
        </w:rPr>
        <w:t>人，其中：行政编制</w:t>
      </w:r>
      <w:r>
        <w:rPr>
          <w:rFonts w:hint="eastAsia" w:ascii="仿宋_GB2312" w:hAnsi="仿宋" w:eastAsia="仿宋_GB2312"/>
          <w:snapToGrid w:val="0"/>
          <w:kern w:val="0"/>
          <w:sz w:val="32"/>
          <w:szCs w:val="32"/>
          <w:lang w:val="en-US" w:eastAsia="zh-CN"/>
        </w:rPr>
        <w:t>17</w:t>
      </w:r>
      <w:r>
        <w:rPr>
          <w:rFonts w:hint="eastAsia" w:ascii="仿宋_GB2312" w:hAnsi="仿宋" w:eastAsia="仿宋_GB2312"/>
          <w:snapToGrid w:val="0"/>
          <w:kern w:val="0"/>
          <w:sz w:val="32"/>
          <w:szCs w:val="32"/>
        </w:rPr>
        <w:t>人，事业编制</w:t>
      </w:r>
      <w:r>
        <w:rPr>
          <w:rFonts w:hint="eastAsia" w:ascii="仿宋_GB2312" w:hAnsi="仿宋" w:eastAsia="仿宋_GB2312"/>
          <w:snapToGrid w:val="0"/>
          <w:kern w:val="0"/>
          <w:sz w:val="32"/>
          <w:szCs w:val="32"/>
          <w:lang w:val="en-US" w:eastAsia="zh-CN"/>
        </w:rPr>
        <w:t>7</w:t>
      </w:r>
      <w:r>
        <w:rPr>
          <w:rFonts w:hint="eastAsia" w:ascii="仿宋_GB2312" w:hAnsi="仿宋" w:eastAsia="仿宋_GB2312"/>
          <w:snapToGrid w:val="0"/>
          <w:kern w:val="0"/>
          <w:sz w:val="32"/>
          <w:szCs w:val="32"/>
        </w:rPr>
        <w:t>人。</w:t>
      </w:r>
    </w:p>
    <w:p>
      <w:pPr>
        <w:kinsoku w:val="0"/>
        <w:overflowPunct w:val="0"/>
        <w:adjustRightInd w:val="0"/>
        <w:snapToGrid w:val="0"/>
        <w:spacing w:line="360" w:lineRule="auto"/>
        <w:ind w:right="51" w:firstLine="643"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三、预算单位构成</w:t>
      </w:r>
      <w:r>
        <w:rPr>
          <w:rFonts w:hint="eastAsia" w:ascii="黑体" w:hAnsi="黑体" w:eastAsia="黑体" w:cs="黑体"/>
          <w:sz w:val="32"/>
          <w:szCs w:val="32"/>
        </w:rPr>
        <w:t>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仿宋_GB2312" w:hAnsi="仿宋" w:eastAsia="仿宋_GB2312"/>
          <w:snapToGrid w:val="0"/>
          <w:kern w:val="0"/>
          <w:sz w:val="32"/>
          <w:szCs w:val="32"/>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ermStart w:id="1" w:edGrp="everyone"/>
      <w:permEnd w:id="1"/>
      <w:r>
        <w:rPr>
          <w:rFonts w:hint="eastAsia" w:ascii="仿宋_GB2312" w:hAnsi="仿宋" w:eastAsia="仿宋_GB2312"/>
          <w:snapToGrid w:val="0"/>
          <w:kern w:val="0"/>
          <w:sz w:val="32"/>
          <w:szCs w:val="32"/>
          <w:lang w:val="en-US" w:eastAsia="zh-CN"/>
        </w:rPr>
        <w:t>此次公开的预算“无</w:t>
      </w:r>
      <w:r>
        <w:rPr>
          <w:rFonts w:hint="eastAsia" w:ascii="仿宋_GB2312" w:hAnsi="仿宋" w:eastAsia="仿宋_GB2312"/>
          <w:snapToGrid w:val="0"/>
          <w:kern w:val="0"/>
          <w:sz w:val="32"/>
          <w:szCs w:val="32"/>
        </w:rPr>
        <w:t>下属机构及</w:t>
      </w:r>
      <w:r>
        <w:rPr>
          <w:rFonts w:hint="eastAsia" w:ascii="仿宋_GB2312" w:hAnsi="仿宋" w:eastAsia="仿宋_GB2312"/>
          <w:snapToGrid w:val="0"/>
          <w:kern w:val="0"/>
          <w:sz w:val="32"/>
          <w:szCs w:val="32"/>
          <w:lang w:val="en-US" w:eastAsia="zh-CN"/>
        </w:rPr>
        <w:t>其他</w:t>
      </w:r>
      <w:r>
        <w:rPr>
          <w:rFonts w:hint="eastAsia" w:ascii="仿宋_GB2312" w:hAnsi="仿宋" w:eastAsia="仿宋_GB2312"/>
          <w:snapToGrid w:val="0"/>
          <w:kern w:val="0"/>
          <w:sz w:val="32"/>
          <w:szCs w:val="32"/>
        </w:rPr>
        <w:t>预算单位</w:t>
      </w:r>
      <w:r>
        <w:rPr>
          <w:rFonts w:hint="eastAsia" w:ascii="仿宋_GB2312" w:hAnsi="仿宋" w:eastAsia="仿宋_GB2312"/>
          <w:snapToGrid w:val="0"/>
          <w:kern w:val="0"/>
          <w:sz w:val="32"/>
          <w:szCs w:val="32"/>
          <w:lang w:val="en-US" w:eastAsia="zh-CN"/>
        </w:rPr>
        <w:t>”</w:t>
      </w:r>
      <w:r>
        <w:rPr>
          <w:rFonts w:hint="eastAsia" w:ascii="仿宋_GB2312" w:hAnsi="仿宋" w:eastAsia="仿宋_GB2312"/>
          <w:snapToGrid w:val="0"/>
          <w:kern w:val="0"/>
          <w:sz w:val="32"/>
          <w:szCs w:val="32"/>
        </w:rPr>
        <w:t>仅有本</w:t>
      </w:r>
      <w:r>
        <w:rPr>
          <w:rFonts w:hint="eastAsia" w:ascii="仿宋_GB2312" w:hAnsi="仿宋" w:eastAsia="仿宋_GB2312"/>
          <w:snapToGrid w:val="0"/>
          <w:kern w:val="0"/>
          <w:sz w:val="32"/>
          <w:szCs w:val="32"/>
          <w:lang w:val="en-US" w:eastAsia="zh-CN"/>
        </w:rPr>
        <w:t>单位</w:t>
      </w:r>
      <w:r>
        <w:rPr>
          <w:rFonts w:hint="eastAsia" w:ascii="仿宋_GB2312" w:hAnsi="仿宋" w:eastAsia="仿宋_GB2312"/>
          <w:snapToGrid w:val="0"/>
          <w:kern w:val="0"/>
          <w:sz w:val="32"/>
          <w:szCs w:val="32"/>
        </w:rPr>
        <w:t>预算。</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r>
        <w:rPr>
          <w:rFonts w:hint="eastAsia" w:ascii="黑体" w:hAnsi="黑体" w:eastAsia="黑体" w:cs="方正小标宋简体"/>
          <w:sz w:val="44"/>
          <w:szCs w:val="44"/>
          <w:lang w:val="en-US" w:eastAsia="zh-CN"/>
        </w:rPr>
        <w:t>罗山县人力资源和社会保障局</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2</w:t>
      </w:r>
      <w:r>
        <w:rPr>
          <w:rFonts w:hint="eastAsia" w:ascii="黑体" w:hAnsi="黑体" w:eastAsia="黑体" w:cs="方正小标宋简体"/>
          <w:sz w:val="44"/>
          <w:szCs w:val="44"/>
        </w:rPr>
        <w:t>年度预算情况说明</w:t>
      </w:r>
    </w:p>
    <w:p>
      <w:pPr>
        <w:numPr>
          <w:ilvl w:val="0"/>
          <w:numId w:val="1"/>
        </w:num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收入支出预算总体情况说明</w:t>
      </w:r>
    </w:p>
    <w:p>
      <w:pPr>
        <w:adjustRightInd w:val="0"/>
        <w:snapToGrid w:val="0"/>
        <w:spacing w:line="580" w:lineRule="exact"/>
        <w:ind w:firstLine="640" w:firstLineChars="200"/>
        <w:rPr>
          <w:rFonts w:hint="default" w:ascii="Arial" w:hAnsi="Arial" w:eastAsia="仿宋_GB2312" w:cs="Arial"/>
          <w:color w:val="000000"/>
          <w:sz w:val="32"/>
          <w:szCs w:val="32"/>
          <w:lang w:val="en-US" w:eastAsia="zh-CN"/>
        </w:rPr>
      </w:pPr>
      <w:bookmarkStart w:id="2" w:name="PO_part2B2DivName1"/>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eastAsia="仿宋_GB2312"/>
          <w:sz w:val="11"/>
          <w:szCs w:val="11"/>
        </w:rPr>
        <w:t xml:space="preserve"> </w:t>
      </w:r>
      <w:bookmarkEnd w:id="2"/>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年收入总计</w:t>
      </w:r>
      <w:r>
        <w:rPr>
          <w:rFonts w:hint="eastAsia" w:ascii="仿宋_GB2312" w:hAnsi="仿宋_GB2312" w:eastAsia="仿宋_GB2312" w:cs="仿宋_GB2312"/>
          <w:color w:val="000000"/>
          <w:sz w:val="32"/>
          <w:szCs w:val="32"/>
          <w:lang w:val="en-US" w:eastAsia="zh-CN"/>
        </w:rPr>
        <w:t>650.58</w:t>
      </w:r>
      <w:r>
        <w:rPr>
          <w:rFonts w:hint="eastAsia" w:ascii="仿宋_GB2312" w:hAnsi="仿宋_GB2312" w:eastAsia="仿宋_GB2312" w:cs="仿宋_GB2312"/>
          <w:color w:val="000000"/>
          <w:sz w:val="32"/>
          <w:szCs w:val="32"/>
        </w:rPr>
        <w:t>万元，支出总计</w:t>
      </w:r>
      <w:r>
        <w:rPr>
          <w:rFonts w:hint="eastAsia" w:ascii="仿宋_GB2312" w:hAnsi="仿宋_GB2312" w:eastAsia="仿宋_GB2312" w:cs="仿宋_GB2312"/>
          <w:color w:val="000000"/>
          <w:sz w:val="32"/>
          <w:szCs w:val="32"/>
          <w:lang w:val="en-US" w:eastAsia="zh-CN"/>
        </w:rPr>
        <w:t>650.58</w:t>
      </w:r>
      <w:r>
        <w:rPr>
          <w:rFonts w:hint="eastAsia" w:ascii="仿宋_GB2312" w:hAnsi="仿宋_GB2312" w:eastAsia="仿宋_GB2312" w:cs="仿宋_GB2312"/>
          <w:color w:val="000000"/>
          <w:sz w:val="32"/>
          <w:szCs w:val="32"/>
        </w:rPr>
        <w:t>万元，</w:t>
      </w:r>
      <w:bookmarkStart w:id="3" w:name="PO_part2A1IncReason1"/>
      <w:permStart w:id="2" w:edGrp="everyone"/>
      <w:r>
        <w:rPr>
          <w:rFonts w:hint="eastAsia" w:ascii="仿宋_GB2312" w:hAnsi="宋体" w:eastAsia="仿宋_GB2312"/>
          <w:bCs/>
          <w:sz w:val="32"/>
          <w:szCs w:val="32"/>
        </w:rPr>
        <w:t>比</w:t>
      </w:r>
      <w:r>
        <w:rPr>
          <w:rFonts w:ascii="仿宋_GB2312" w:hAnsi="宋体" w:eastAsia="仿宋_GB2312"/>
          <w:bCs/>
          <w:sz w:val="32"/>
          <w:szCs w:val="32"/>
        </w:rPr>
        <w:t>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增加39.52</w:t>
      </w:r>
      <w:r>
        <w:rPr>
          <w:rFonts w:hint="eastAsia" w:ascii="仿宋_GB2312" w:hAnsi="宋体" w:eastAsia="仿宋_GB2312"/>
          <w:bCs/>
          <w:sz w:val="32"/>
          <w:szCs w:val="32"/>
        </w:rPr>
        <w:t>万元，</w:t>
      </w:r>
      <w:r>
        <w:rPr>
          <w:rFonts w:hint="eastAsia" w:ascii="仿宋_GB2312" w:hAnsi="宋体" w:eastAsia="仿宋_GB2312"/>
          <w:bCs/>
          <w:sz w:val="32"/>
          <w:szCs w:val="32"/>
          <w:lang w:val="en-US" w:eastAsia="zh-CN"/>
        </w:rPr>
        <w:t>增加6.07</w:t>
      </w:r>
      <w:r>
        <w:rPr>
          <w:rFonts w:hint="eastAsia" w:ascii="仿宋_GB2312" w:hAnsi="宋体" w:eastAsia="仿宋_GB2312"/>
          <w:bCs/>
          <w:sz w:val="32"/>
          <w:szCs w:val="32"/>
        </w:rPr>
        <w:t>%</w:t>
      </w:r>
      <w:bookmarkEnd w:id="3"/>
      <w:r>
        <w:rPr>
          <w:rFonts w:hint="eastAsia" w:ascii="仿宋_GB2312" w:hAnsi="宋体" w:eastAsia="仿宋_GB2312"/>
          <w:bCs/>
          <w:sz w:val="32"/>
          <w:szCs w:val="32"/>
          <w:lang w:eastAsia="zh-CN"/>
        </w:rPr>
        <w:t>，</w:t>
      </w:r>
      <w:permEnd w:id="2"/>
      <w:r>
        <w:rPr>
          <w:rFonts w:hint="eastAsia" w:ascii="仿宋_GB2312" w:hAnsi="Times New Roman" w:eastAsia="仿宋_GB2312"/>
          <w:sz w:val="32"/>
          <w:szCs w:val="32"/>
        </w:rPr>
        <w:t>主要原因</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单位是在职人员增加，导致人员经费增加。</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年收入合计</w:t>
      </w:r>
      <w:bookmarkStart w:id="4" w:name="PO_part2A2Amount1"/>
      <w:r>
        <w:rPr>
          <w:rFonts w:hint="eastAsia" w:ascii="仿宋_GB2312" w:hAnsi="仿宋_GB2312" w:eastAsia="仿宋_GB2312" w:cs="仿宋_GB2312"/>
          <w:color w:val="000000"/>
          <w:sz w:val="32"/>
          <w:szCs w:val="32"/>
          <w:lang w:val="en-US" w:eastAsia="zh-CN"/>
        </w:rPr>
        <w:t>650.58</w:t>
      </w:r>
      <w:r>
        <w:rPr>
          <w:rFonts w:hint="eastAsia" w:ascii="仿宋_GB2312" w:hAnsi="仿宋_GB2312" w:eastAsia="仿宋_GB2312" w:cs="仿宋_GB2312"/>
          <w:color w:val="000000"/>
          <w:sz w:val="11"/>
          <w:szCs w:val="11"/>
        </w:rPr>
        <w:t xml:space="preserve"> </w:t>
      </w:r>
      <w:bookmarkEnd w:id="4"/>
      <w:r>
        <w:rPr>
          <w:rFonts w:hint="eastAsia" w:ascii="仿宋_GB2312" w:hAnsi="仿宋_GB2312" w:eastAsia="仿宋_GB2312" w:cs="仿宋_GB2312"/>
          <w:color w:val="000000"/>
          <w:sz w:val="32"/>
          <w:szCs w:val="32"/>
        </w:rPr>
        <w:t>万元，其中：一般公共预算</w:t>
      </w:r>
      <w:bookmarkStart w:id="5" w:name="PO_part2A2Amount2"/>
      <w:r>
        <w:rPr>
          <w:rFonts w:hint="eastAsia" w:ascii="仿宋_GB2312" w:hAnsi="仿宋_GB2312" w:eastAsia="仿宋_GB2312" w:cs="仿宋_GB2312"/>
          <w:color w:val="000000"/>
          <w:sz w:val="32"/>
          <w:szCs w:val="32"/>
          <w:lang w:val="en-US" w:eastAsia="zh-CN"/>
        </w:rPr>
        <w:t>650.58</w:t>
      </w:r>
      <w:r>
        <w:rPr>
          <w:rFonts w:hint="eastAsia" w:ascii="仿宋_GB2312" w:hAnsi="仿宋_GB2312" w:eastAsia="仿宋_GB2312" w:cs="仿宋_GB2312"/>
          <w:color w:val="000000"/>
          <w:sz w:val="11"/>
          <w:szCs w:val="11"/>
        </w:rPr>
        <w:t xml:space="preserve"> </w:t>
      </w:r>
      <w:bookmarkEnd w:id="5"/>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lang w:val="en-US" w:eastAsia="zh-CN"/>
        </w:rPr>
        <w:t>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bookmarkStart w:id="6" w:name="PO_part2A2Amount8"/>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6"/>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650.58</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196.73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30.24%</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453.85</w:t>
      </w:r>
      <w:r>
        <w:rPr>
          <w:rFonts w:hint="eastAsia" w:ascii="仿宋_GB2312" w:hAnsi="仿宋_GB2312" w:eastAsia="仿宋_GB2312" w:cs="仿宋_GB2312"/>
          <w:color w:val="000000"/>
          <w:sz w:val="32"/>
          <w:szCs w:val="32"/>
        </w:rPr>
        <w:t>万元，占</w:t>
      </w:r>
      <w:r>
        <w:rPr>
          <w:rFonts w:hint="eastAsia" w:ascii="仿宋_GB2312" w:hAnsi="Times New Roman" w:eastAsia="仿宋_GB2312"/>
          <w:sz w:val="32"/>
          <w:szCs w:val="32"/>
          <w:lang w:val="en-US" w:eastAsia="zh-CN"/>
        </w:rPr>
        <w:t>69.76</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650.58</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bookmarkStart w:id="7" w:name="PO_part2A4Amount2"/>
      <w:permStart w:id="3" w:edGrp="everyone"/>
      <w:r>
        <w:rPr>
          <w:rFonts w:hint="eastAsia" w:ascii="仿宋_GB2312" w:hAnsi="仿宋_GB2312" w:eastAsia="仿宋_GB2312" w:cs="仿宋_GB2312"/>
          <w:color w:val="000000"/>
          <w:sz w:val="32"/>
          <w:szCs w:val="32"/>
        </w:rPr>
        <w:t>政府性基金收支预算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仿宋_GB2312" w:eastAsia="仿宋_GB2312" w:cs="仿宋_GB2312"/>
          <w:color w:val="000000"/>
          <w:sz w:val="32"/>
          <w:szCs w:val="32"/>
        </w:rPr>
        <w:t>国有资本经营预算拨款收支预算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Times New Roman" w:eastAsia="仿宋_GB2312"/>
          <w:sz w:val="32"/>
          <w:szCs w:val="32"/>
        </w:rPr>
        <w:t>。</w:t>
      </w:r>
      <w:permEnd w:id="3"/>
      <w:r>
        <w:rPr>
          <w:rFonts w:hint="eastAsia" w:ascii="Arial" w:hAnsi="Arial" w:eastAsia="仿宋_GB2312" w:cs="Arial"/>
          <w:color w:val="000000"/>
          <w:sz w:val="11"/>
          <w:szCs w:val="11"/>
        </w:rPr>
        <w:t xml:space="preserve"> </w:t>
      </w:r>
      <w:bookmarkEnd w:id="7"/>
      <w:r>
        <w:rPr>
          <w:rFonts w:hint="eastAsia" w:ascii="仿宋_GB2312" w:hAnsi="Times New Roman" w:eastAsia="仿宋_GB2312"/>
          <w:sz w:val="32"/>
          <w:szCs w:val="32"/>
        </w:rPr>
        <w:t>其中：</w:t>
      </w:r>
    </w:p>
    <w:p>
      <w:pPr>
        <w:adjustRightInd w:val="0"/>
        <w:snapToGrid w:val="0"/>
        <w:spacing w:line="580" w:lineRule="exact"/>
        <w:ind w:firstLine="640" w:firstLineChars="200"/>
        <w:rPr>
          <w:rFonts w:hint="default" w:ascii="Arial" w:hAnsi="Arial" w:eastAsia="仿宋_GB2312" w:cs="Arial"/>
          <w:color w:val="000000"/>
          <w:sz w:val="32"/>
          <w:szCs w:val="32"/>
          <w:lang w:val="en-US" w:eastAsia="zh-CN"/>
        </w:rPr>
      </w:pPr>
      <w:permStart w:id="4" w:edGrp="everyone"/>
      <w:bookmarkStart w:id="8" w:name="PO_part2A4IncReason1"/>
      <w:r>
        <w:rPr>
          <w:rFonts w:hint="eastAsia" w:ascii="仿宋_GB2312" w:hAnsi="仿宋_GB2312" w:eastAsia="仿宋_GB2312" w:cs="仿宋_GB2312"/>
          <w:color w:val="000000"/>
          <w:sz w:val="32"/>
          <w:szCs w:val="32"/>
        </w:rPr>
        <w:t>一般公共预算收支预算</w:t>
      </w:r>
      <w:r>
        <w:rPr>
          <w:rFonts w:hint="eastAsia" w:ascii="仿宋_GB2312" w:hAnsi="宋体" w:eastAsia="仿宋_GB2312"/>
          <w:bCs/>
          <w:sz w:val="32"/>
          <w:szCs w:val="32"/>
        </w:rPr>
        <w:t>比</w:t>
      </w:r>
      <w:r>
        <w:rPr>
          <w:rFonts w:ascii="仿宋_GB2312" w:hAnsi="宋体" w:eastAsia="仿宋_GB2312"/>
          <w:bCs/>
          <w:sz w:val="32"/>
          <w:szCs w:val="32"/>
        </w:rPr>
        <w:t>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增加39.52</w:t>
      </w:r>
      <w:r>
        <w:rPr>
          <w:rFonts w:hint="eastAsia" w:ascii="仿宋_GB2312" w:hAnsi="宋体" w:eastAsia="仿宋_GB2312"/>
          <w:bCs/>
          <w:sz w:val="32"/>
          <w:szCs w:val="32"/>
        </w:rPr>
        <w:t>万元，</w:t>
      </w:r>
      <w:r>
        <w:rPr>
          <w:rFonts w:hint="eastAsia" w:ascii="仿宋_GB2312" w:hAnsi="宋体" w:eastAsia="仿宋_GB2312"/>
          <w:bCs/>
          <w:sz w:val="32"/>
          <w:szCs w:val="32"/>
          <w:lang w:val="en-US" w:eastAsia="zh-CN"/>
        </w:rPr>
        <w:t>增加6.07</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单位是在职人员增加，导致人员经费增加。</w:t>
      </w:r>
      <w:permEnd w:id="4"/>
    </w:p>
    <w:bookmarkEnd w:id="8"/>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lang w:val="en-US" w:eastAsia="zh-CN"/>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年一般公共预算支出年初预算为</w:t>
      </w:r>
      <w:r>
        <w:rPr>
          <w:rFonts w:hint="eastAsia" w:ascii="仿宋_GB2312" w:hAnsi="Times New Roman" w:eastAsia="仿宋_GB2312"/>
          <w:sz w:val="32"/>
          <w:szCs w:val="32"/>
          <w:lang w:val="en-US" w:eastAsia="zh-CN"/>
        </w:rPr>
        <w:t>650.58</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：社会保障和就业</w:t>
      </w:r>
      <w:r>
        <w:rPr>
          <w:rFonts w:hint="eastAsia" w:ascii="仿宋_GB2312" w:hAnsi="Times New Roman" w:eastAsia="仿宋_GB2312"/>
          <w:sz w:val="32"/>
          <w:szCs w:val="32"/>
          <w:lang w:val="en-US" w:eastAsia="zh-CN"/>
        </w:rPr>
        <w:t>（类）支出525.50万元，占80.62%；卫生健康（类）支出8.83万元，占1.36%;农林水（类）支出104.00万元，占15.98%；住房保障（类）支出13.25万元，占2.04%。</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adjustRightInd w:val="0"/>
        <w:snapToGrid w:val="0"/>
        <w:spacing w:line="560" w:lineRule="exact"/>
        <w:ind w:firstLine="640" w:firstLineChars="200"/>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lang w:val="en-US" w:eastAsia="zh-CN"/>
        </w:rPr>
        <w:t>2022年</w:t>
      </w:r>
      <w:r>
        <w:rPr>
          <w:rFonts w:hint="eastAsia" w:ascii="仿宋" w:hAnsi="仿宋" w:eastAsia="仿宋" w:cs="仿宋"/>
          <w:i w:val="0"/>
          <w:iCs w:val="0"/>
          <w:caps w:val="0"/>
          <w:color w:val="000000"/>
          <w:spacing w:val="0"/>
          <w:sz w:val="32"/>
          <w:szCs w:val="32"/>
          <w:shd w:val="clear" w:color="auto" w:fill="FFFFFF"/>
        </w:rPr>
        <w:t>一般公共预算基本支出</w:t>
      </w:r>
      <w:r>
        <w:rPr>
          <w:rFonts w:hint="eastAsia" w:ascii="仿宋_GB2312" w:hAnsi="仿宋_GB2312" w:eastAsia="仿宋_GB2312" w:cs="仿宋_GB2312"/>
          <w:color w:val="000000"/>
          <w:sz w:val="32"/>
          <w:szCs w:val="32"/>
        </w:rPr>
        <w:t>为</w:t>
      </w:r>
      <w:r>
        <w:rPr>
          <w:rFonts w:hint="eastAsia" w:ascii="仿宋_GB2312" w:eastAsia="仿宋_GB2312"/>
          <w:sz w:val="32"/>
          <w:szCs w:val="32"/>
          <w:lang w:val="en-US" w:eastAsia="zh-CN"/>
        </w:rPr>
        <w:t>196.73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其中，</w:t>
      </w:r>
      <w:r>
        <w:rPr>
          <w:rFonts w:hint="eastAsia" w:ascii="仿宋" w:hAnsi="仿宋" w:eastAsia="仿宋" w:cs="仿宋"/>
          <w:i w:val="0"/>
          <w:iCs w:val="0"/>
          <w:caps w:val="0"/>
          <w:color w:val="000000"/>
          <w:spacing w:val="0"/>
          <w:sz w:val="32"/>
          <w:szCs w:val="32"/>
          <w:shd w:val="clear" w:color="auto" w:fill="FFFFFF"/>
        </w:rPr>
        <w:t>人员经费</w:t>
      </w:r>
      <w:r>
        <w:rPr>
          <w:rFonts w:hint="eastAsia" w:ascii="仿宋" w:hAnsi="仿宋" w:eastAsia="仿宋" w:cs="仿宋"/>
          <w:i w:val="0"/>
          <w:iCs w:val="0"/>
          <w:caps w:val="0"/>
          <w:color w:val="000000"/>
          <w:spacing w:val="0"/>
          <w:sz w:val="32"/>
          <w:szCs w:val="32"/>
          <w:shd w:val="clear" w:color="auto" w:fill="FFFFFF"/>
          <w:lang w:val="en-US" w:eastAsia="zh-CN"/>
        </w:rPr>
        <w:t>185.70</w:t>
      </w:r>
      <w:r>
        <w:rPr>
          <w:rFonts w:hint="eastAsia" w:ascii="仿宋" w:hAnsi="仿宋" w:eastAsia="仿宋" w:cs="仿宋"/>
          <w:i w:val="0"/>
          <w:iCs w:val="0"/>
          <w:caps w:val="0"/>
          <w:color w:val="000000"/>
          <w:spacing w:val="0"/>
          <w:sz w:val="32"/>
          <w:szCs w:val="32"/>
          <w:shd w:val="clear" w:color="auto" w:fill="FFFFFF"/>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仿宋" w:hAnsi="仿宋" w:eastAsia="仿宋" w:cs="仿宋"/>
          <w:i w:val="0"/>
          <w:iCs w:val="0"/>
          <w:caps w:val="0"/>
          <w:color w:val="000000"/>
          <w:spacing w:val="0"/>
          <w:sz w:val="32"/>
          <w:szCs w:val="32"/>
          <w:shd w:val="clear" w:color="auto" w:fill="FFFFFF"/>
          <w:lang w:val="en-US" w:eastAsia="zh-CN"/>
        </w:rPr>
        <w:t>11.03</w:t>
      </w:r>
      <w:r>
        <w:rPr>
          <w:rFonts w:hint="eastAsia" w:ascii="仿宋" w:hAnsi="仿宋" w:eastAsia="仿宋" w:cs="仿宋"/>
          <w:i w:val="0"/>
          <w:iCs w:val="0"/>
          <w:caps w:val="0"/>
          <w:color w:val="000000"/>
          <w:spacing w:val="0"/>
          <w:sz w:val="32"/>
          <w:szCs w:val="32"/>
          <w:shd w:val="clear" w:color="auto" w:fill="FFFFFF"/>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adjustRightInd w:val="0"/>
        <w:snapToGrid w:val="0"/>
        <w:spacing w:line="560" w:lineRule="exact"/>
        <w:ind w:firstLine="640" w:firstLineChars="200"/>
        <w:rPr>
          <w:rFonts w:hint="eastAsia" w:ascii="黑体" w:hAnsi="黑体" w:eastAsia="黑体" w:cs="宋体"/>
          <w:bCs/>
          <w:color w:val="0000FF"/>
          <w:kern w:val="0"/>
          <w:sz w:val="32"/>
          <w:szCs w:val="32"/>
          <w:highlight w:val="magenta"/>
          <w:lang w:eastAsia="zh-CN"/>
        </w:rPr>
      </w:pPr>
      <w:r>
        <w:rPr>
          <w:rFonts w:hint="eastAsia" w:ascii="黑体" w:hAnsi="黑体" w:eastAsia="黑体" w:cs="宋体"/>
          <w:bCs/>
          <w:kern w:val="0"/>
          <w:sz w:val="32"/>
          <w:szCs w:val="32"/>
          <w:lang w:val="en-US" w:eastAsia="zh-CN"/>
        </w:rPr>
        <w:t>七</w:t>
      </w:r>
      <w:r>
        <w:rPr>
          <w:rFonts w:ascii="黑体" w:hAnsi="黑体" w:eastAsia="黑体" w:cs="宋体"/>
          <w:bCs/>
          <w:kern w:val="0"/>
          <w:sz w:val="32"/>
          <w:szCs w:val="32"/>
        </w:rPr>
        <w:t>、支出预算经济分类情况说明</w:t>
      </w:r>
    </w:p>
    <w:p>
      <w:pPr>
        <w:adjustRightInd w:val="0"/>
        <w:snapToGrid w:val="0"/>
        <w:spacing w:line="560" w:lineRule="exact"/>
        <w:ind w:firstLine="640" w:firstLineChars="200"/>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宋体"/>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lang w:val="en-US" w:eastAsia="zh-CN"/>
        </w:rPr>
        <w:t>八</w:t>
      </w:r>
      <w:r>
        <w:rPr>
          <w:rFonts w:hint="eastAsia" w:ascii="黑体" w:hAnsi="黑体" w:eastAsia="黑体"/>
          <w:color w:val="000000"/>
          <w:kern w:val="0"/>
          <w:sz w:val="32"/>
          <w:szCs w:val="32"/>
        </w:rPr>
        <w:t>、</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年“三公”经费预算为</w:t>
      </w:r>
      <w:r>
        <w:rPr>
          <w:rFonts w:hint="eastAsia" w:ascii="仿宋_GB2312" w:hAnsi="仿宋_GB2312" w:eastAsia="仿宋_GB2312" w:cs="仿宋_GB2312"/>
          <w:color w:val="000000"/>
          <w:sz w:val="32"/>
          <w:szCs w:val="32"/>
          <w:lang w:val="en-US" w:eastAsia="zh-CN"/>
        </w:rPr>
        <w:t>7.97</w:t>
      </w:r>
      <w:r>
        <w:rPr>
          <w:rFonts w:hint="eastAsia" w:ascii="仿宋_GB2312" w:hAnsi="仿宋_GB2312" w:eastAsia="仿宋_GB2312" w:cs="仿宋_GB2312"/>
          <w:color w:val="000000"/>
          <w:sz w:val="32"/>
          <w:szCs w:val="32"/>
        </w:rPr>
        <w:t>万元，</w:t>
      </w:r>
      <w:bookmarkStart w:id="9" w:name="PO_part2A9IncReason1"/>
      <w:permStart w:id="5" w:edGrp="everyone"/>
      <w:r>
        <w:rPr>
          <w:rFonts w:hint="eastAsia" w:ascii="仿宋_GB2312" w:hAnsi="仿宋_GB2312" w:eastAsia="仿宋_GB2312" w:cs="仿宋_GB2312"/>
          <w:color w:val="000000"/>
          <w:sz w:val="32"/>
          <w:szCs w:val="32"/>
          <w:lang w:val="en-US" w:eastAsia="zh-CN"/>
        </w:rPr>
        <w:t>比</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减少0.02万元</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减少0.25%</w:t>
      </w:r>
      <w:r>
        <w:rPr>
          <w:rFonts w:hint="eastAsia" w:ascii="仿宋_GB2312" w:hAnsi="宋体" w:eastAsia="仿宋_GB2312"/>
          <w:bCs/>
          <w:sz w:val="32"/>
          <w:szCs w:val="32"/>
          <w:lang w:eastAsia="zh-CN"/>
        </w:rPr>
        <w:t>。</w:t>
      </w:r>
      <w:bookmarkEnd w:id="9"/>
      <w:permEnd w:id="5"/>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bookmarkStart w:id="21" w:name="_GoBack"/>
      <w:bookmarkEnd w:id="21"/>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（一）因公出国（境）费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w:t>
      </w:r>
      <w:bookmarkStart w:id="10" w:name="PO_part2A9IncReason3"/>
      <w:permStart w:id="6" w:edGrp="everyone"/>
      <w:r>
        <w:rPr>
          <w:rFonts w:hint="eastAsia" w:ascii="仿宋_GB2312" w:hAnsi="仿宋_GB2312" w:eastAsia="仿宋_GB2312" w:cs="仿宋_GB2312"/>
          <w:sz w:val="32"/>
          <w:szCs w:val="32"/>
          <w:lang w:val="en-US" w:eastAsia="zh-CN"/>
        </w:rPr>
        <w:t>主要用于单位工作人员公务出国（境）的住宿费、差旅费、伙食补助费、培训费、杂费等支出。</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年预算持平，无增减变动</w:t>
      </w:r>
      <w:bookmarkEnd w:id="10"/>
      <w:r>
        <w:rPr>
          <w:rFonts w:hint="eastAsia" w:ascii="仿宋_GB2312" w:hAnsi="宋体" w:eastAsia="仿宋_GB2312"/>
          <w:bCs/>
          <w:sz w:val="32"/>
          <w:szCs w:val="32"/>
          <w:lang w:eastAsia="zh-CN"/>
        </w:rPr>
        <w:t>。</w:t>
      </w:r>
      <w:permEnd w:id="6"/>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ind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（二）公务用车购置及运行维护费</w:t>
      </w:r>
      <w:r>
        <w:rPr>
          <w:rFonts w:hint="eastAsia" w:ascii="仿宋_GB2312" w:hAnsi="Times New Roman"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bookmarkStart w:id="11" w:name="PO_part2A9IncReason5"/>
      <w:permStart w:id="7" w:edGrp="everyone"/>
      <w:r>
        <w:rPr>
          <w:rFonts w:hint="eastAsia" w:ascii="仿宋_GB2312" w:hAnsi="仿宋_GB2312" w:eastAsia="仿宋_GB2312" w:cs="仿宋_GB2312"/>
          <w:color w:val="000000"/>
          <w:sz w:val="32"/>
          <w:szCs w:val="32"/>
          <w:lang w:val="en-US" w:eastAsia="zh-CN"/>
        </w:rPr>
        <w:t>与</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年预算持平，无增减变动</w:t>
      </w:r>
      <w:bookmarkEnd w:id="11"/>
      <w:r>
        <w:rPr>
          <w:rFonts w:hint="eastAsia" w:ascii="仿宋_GB2312" w:hAnsi="宋体" w:eastAsia="仿宋_GB2312"/>
          <w:bCs/>
          <w:sz w:val="32"/>
          <w:szCs w:val="32"/>
          <w:lang w:eastAsia="zh-CN"/>
        </w:rPr>
        <w:t>。</w:t>
      </w:r>
      <w:permEnd w:id="7"/>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2.99</w:t>
      </w:r>
      <w:r>
        <w:rPr>
          <w:rFonts w:hint="eastAsia" w:ascii="仿宋_GB2312" w:hAnsi="仿宋_GB2312" w:eastAsia="仿宋_GB2312" w:cs="仿宋_GB2312"/>
          <w:color w:val="000000"/>
          <w:kern w:val="0"/>
          <w:sz w:val="32"/>
          <w:szCs w:val="32"/>
        </w:rPr>
        <w:t>万元，</w:t>
      </w:r>
      <w:bookmarkStart w:id="12" w:name="PO_part2A9IncReason2"/>
      <w:permStart w:id="8" w:edGrp="everyone"/>
      <w:permEnd w:id="8"/>
      <w:r>
        <w:rPr>
          <w:rFonts w:hint="eastAsia" w:ascii="仿宋_GB2312" w:hAnsi="宋体" w:eastAsia="仿宋_GB2312"/>
          <w:bCs/>
          <w:sz w:val="32"/>
          <w:szCs w:val="32"/>
        </w:rPr>
        <w:t xml:space="preserve"> </w:t>
      </w:r>
      <w:bookmarkEnd w:id="12"/>
      <w:r>
        <w:rPr>
          <w:rFonts w:hint="eastAsia" w:ascii="仿宋_GB2312" w:hAnsi="仿宋_GB2312" w:eastAsia="仿宋_GB2312" w:cs="仿宋_GB2312"/>
          <w:color w:val="000000"/>
          <w:sz w:val="32"/>
          <w:szCs w:val="32"/>
        </w:rPr>
        <w:t>主要用于主要用于</w:t>
      </w:r>
      <w:r>
        <w:rPr>
          <w:rFonts w:hint="eastAsia" w:ascii="仿宋_GB2312" w:hAnsi="仿宋_GB2312" w:eastAsia="仿宋_GB2312" w:cs="仿宋_GB2312"/>
          <w:sz w:val="32"/>
          <w:szCs w:val="32"/>
        </w:rPr>
        <w:t>开展工作所需公务用车的燃料费、维修费、过路过桥费、保险费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000000"/>
          <w:sz w:val="32"/>
          <w:szCs w:val="32"/>
        </w:rPr>
        <w:t>，</w:t>
      </w:r>
      <w:r>
        <w:rPr>
          <w:rFonts w:hint="eastAsia" w:ascii="仿宋_GB2312" w:hAnsi="宋体" w:eastAsia="仿宋_GB2312"/>
          <w:bCs/>
          <w:sz w:val="32"/>
          <w:szCs w:val="32"/>
        </w:rPr>
        <w:t>与</w:t>
      </w:r>
      <w:r>
        <w:rPr>
          <w:rFonts w:hint="eastAsia" w:ascii="仿宋_GB2312" w:hAnsi="仿宋_GB2312" w:eastAsia="仿宋_GB2312" w:cs="仿宋_GB2312"/>
          <w:color w:val="000000"/>
          <w:sz w:val="32"/>
          <w:szCs w:val="32"/>
          <w:lang w:val="en-US" w:eastAsia="zh-CN"/>
        </w:rPr>
        <w:t>比</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减少0.01万元</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减少0.33%</w:t>
      </w:r>
      <w:r>
        <w:rPr>
          <w:rFonts w:hint="eastAsia" w:ascii="仿宋_GB2312" w:hAnsi="宋体" w:eastAsia="仿宋_GB2312"/>
          <w:bCs/>
          <w:sz w:val="32"/>
          <w:szCs w:val="32"/>
          <w:lang w:eastAsia="zh-CN"/>
        </w:rPr>
        <w:t>。</w:t>
      </w:r>
    </w:p>
    <w:p>
      <w:pPr>
        <w:spacing w:line="580" w:lineRule="exact"/>
        <w:ind w:firstLine="640" w:firstLineChars="200"/>
        <w:outlineLvl w:val="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（三）公务接待费</w:t>
      </w:r>
      <w:r>
        <w:rPr>
          <w:rFonts w:hint="eastAsia" w:ascii="仿宋_GB2312" w:hAnsi="Times New Roman" w:eastAsia="仿宋_GB2312" w:cs="Times New Roman"/>
          <w:sz w:val="32"/>
          <w:szCs w:val="32"/>
          <w:lang w:val="en-US" w:eastAsia="zh-CN"/>
        </w:rPr>
        <w:t>4.98</w:t>
      </w:r>
      <w:r>
        <w:rPr>
          <w:rFonts w:hint="eastAsia" w:ascii="仿宋_GB2312" w:hAnsi="Times New Roman" w:eastAsia="仿宋_GB2312" w:cs="Times New Roman"/>
          <w:sz w:val="32"/>
          <w:szCs w:val="32"/>
        </w:rPr>
        <w:t>万元，主要用于按规定开支的各类公务接待（含外宾接待）支出，</w:t>
      </w:r>
      <w:permStart w:id="9" w:edGrp="everyone"/>
      <w:r>
        <w:rPr>
          <w:rFonts w:hint="eastAsia" w:ascii="仿宋_GB2312" w:hAnsi="仿宋_GB2312" w:eastAsia="仿宋_GB2312" w:cs="仿宋_GB2312"/>
          <w:color w:val="000000"/>
          <w:sz w:val="32"/>
          <w:szCs w:val="32"/>
          <w:lang w:val="en-US" w:eastAsia="zh-CN"/>
        </w:rPr>
        <w:t>比</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减少0.01万元</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减少0.20%</w:t>
      </w:r>
      <w:r>
        <w:rPr>
          <w:rFonts w:hint="eastAsia" w:ascii="仿宋_GB2312" w:hAnsi="宋体" w:eastAsia="仿宋_GB2312"/>
          <w:bCs/>
          <w:sz w:val="32"/>
          <w:szCs w:val="32"/>
          <w:lang w:eastAsia="zh-CN"/>
        </w:rPr>
        <w:t>。</w:t>
      </w:r>
      <w:r>
        <w:rPr>
          <w:rFonts w:hint="eastAsia" w:ascii="仿宋_GB2312" w:hAnsi="Times New Roman" w:eastAsia="仿宋_GB2312" w:cs="Times New Roman"/>
          <w:sz w:val="32"/>
          <w:szCs w:val="32"/>
          <w:lang w:val="en-US" w:eastAsia="zh-CN"/>
        </w:rPr>
        <w:t>2022年，我单位将按照中央国务院八项规定和省委省政府厉行节约的相关规定要求，严格管控“三公”经费支出，将公务接待开支压缩到最小。</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lang w:val="en-US" w:eastAsia="zh-CN"/>
        </w:rPr>
        <w:t>九</w:t>
      </w:r>
      <w:permEnd w:id="9"/>
      <w:r>
        <w:rPr>
          <w:rFonts w:hint="eastAsia" w:ascii="黑体" w:hAnsi="黑体" w:eastAsia="黑体"/>
          <w:color w:val="000000"/>
          <w:kern w:val="0"/>
          <w:sz w:val="32"/>
          <w:szCs w:val="32"/>
        </w:rPr>
        <w:t>、政府性基金预算支出预算情况说明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bookmarkStart w:id="13" w:name="PO_part2A7Amount1"/>
      <w:permStart w:id="10" w:edGrp="everyone"/>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年本部门没有政府性基金预算拨款收入，也没有政府性基金预算安排的支出，故无数</w:t>
      </w:r>
      <w:r>
        <w:rPr>
          <w:rFonts w:hint="eastAsia" w:ascii="仿宋_GB2312" w:eastAsia="仿宋_GB2312"/>
          <w:sz w:val="32"/>
          <w:szCs w:val="32"/>
          <w:lang w:eastAsia="zh-CN"/>
        </w:rPr>
        <w:t>。</w:t>
      </w:r>
      <w:permEnd w:id="10"/>
      <w:r>
        <w:rPr>
          <w:rFonts w:hint="eastAsia" w:ascii="仿宋_GB2312" w:eastAsia="仿宋_GB2312"/>
          <w:sz w:val="32"/>
          <w:szCs w:val="32"/>
        </w:rPr>
        <w:t xml:space="preserve"> </w:t>
      </w:r>
      <w:bookmarkEnd w:id="13"/>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lang w:val="en-US" w:eastAsia="zh-CN"/>
        </w:rPr>
        <w:t>十</w:t>
      </w:r>
      <w:r>
        <w:rPr>
          <w:rFonts w:hint="eastAsia" w:ascii="黑体" w:hAnsi="黑体" w:eastAsia="黑体"/>
          <w:color w:val="000000"/>
          <w:spacing w:val="-1"/>
          <w:kern w:val="0"/>
          <w:sz w:val="32"/>
          <w:szCs w:val="32"/>
        </w:rPr>
        <w:t>、其他重要事项的情况说明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en-US" w:eastAsia="zh-CN"/>
        </w:rPr>
      </w:pPr>
      <w:bookmarkStart w:id="14" w:name="PO_part2B2DivName10"/>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eastAsia="仿宋_GB2312"/>
          <w:sz w:val="11"/>
          <w:szCs w:val="11"/>
        </w:rPr>
        <w:t xml:space="preserve"> </w:t>
      </w:r>
      <w:bookmarkEnd w:id="14"/>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 w:hAnsi="仿宋" w:eastAsia="仿宋"/>
          <w:color w:val="000000"/>
          <w:sz w:val="32"/>
          <w:szCs w:val="32"/>
          <w:lang w:val="en-US" w:eastAsia="zh-CN"/>
        </w:rPr>
        <w:t>11.03</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bookmarkStart w:id="15" w:name="PO_part2A10IncReason1"/>
      <w:permStart w:id="11" w:edGrp="everyone"/>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1相比增加2.3万元</w:t>
      </w:r>
      <w:r>
        <w:rPr>
          <w:rFonts w:hint="eastAsia" w:ascii="仿宋_GB2312" w:hAnsi="宋体" w:eastAsia="仿宋_GB2312"/>
          <w:bCs/>
          <w:sz w:val="32"/>
          <w:szCs w:val="32"/>
        </w:rPr>
        <w:t>，</w:t>
      </w:r>
      <w:bookmarkEnd w:id="15"/>
      <w:r>
        <w:rPr>
          <w:rFonts w:hint="eastAsia" w:ascii="仿宋_GB2312" w:hAnsi="宋体" w:eastAsia="仿宋_GB2312"/>
          <w:bCs/>
          <w:sz w:val="32"/>
          <w:szCs w:val="32"/>
          <w:lang w:val="en-US" w:eastAsia="zh-CN"/>
        </w:rPr>
        <w:t>主要原因：在职人员增加，导致公用经费增加</w:t>
      </w:r>
      <w:r>
        <w:rPr>
          <w:rFonts w:hint="eastAsia" w:ascii="仿宋_GB2312" w:hAnsi="宋体" w:eastAsia="仿宋_GB2312"/>
          <w:bCs/>
          <w:sz w:val="32"/>
          <w:szCs w:val="32"/>
          <w:lang w:eastAsia="zh-CN"/>
        </w:rPr>
        <w:t>。</w:t>
      </w:r>
      <w:permEnd w:id="11"/>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2022年政府采购预算安排</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仿宋_GB2312" w:eastAsia="仿宋_GB2312" w:cs="仿宋_GB2312"/>
          <w:color w:val="000000"/>
          <w:kern w:val="0"/>
          <w:sz w:val="32"/>
          <w:szCs w:val="32"/>
          <w:lang w:val="en-US" w:eastAsia="zh-CN"/>
        </w:rPr>
        <w:t>30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_GB2312" w:hAnsi="仿宋_GB2312" w:eastAsia="仿宋_GB2312" w:cs="仿宋_GB2312"/>
          <w:color w:val="000000"/>
          <w:kern w:val="0"/>
          <w:sz w:val="32"/>
          <w:szCs w:val="32"/>
          <w:lang w:val="en-US" w:eastAsia="zh-CN"/>
        </w:rPr>
        <w:t>2022</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bookmarkStart w:id="16" w:name="PO_part2A10B4Amount6"/>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11"/>
          <w:szCs w:val="11"/>
        </w:rPr>
        <w:t xml:space="preserve"> </w:t>
      </w:r>
      <w:bookmarkEnd w:id="16"/>
      <w:r>
        <w:rPr>
          <w:rFonts w:hint="eastAsia" w:ascii="仿宋_GB2312" w:eastAsia="仿宋_GB2312"/>
          <w:sz w:val="32"/>
          <w:szCs w:val="32"/>
        </w:rPr>
        <w:t>辆，一般执法执勤用车</w:t>
      </w:r>
      <w:bookmarkStart w:id="17" w:name="PO_part2A10B4Amount7"/>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17"/>
      <w:r>
        <w:rPr>
          <w:rFonts w:hint="eastAsia" w:ascii="仿宋_GB2312" w:eastAsia="仿宋_GB2312"/>
          <w:sz w:val="32"/>
          <w:szCs w:val="32"/>
        </w:rPr>
        <w:t>辆，特种专业技术用车</w:t>
      </w:r>
      <w:bookmarkStart w:id="18" w:name="PO_part2A10B4Amount10"/>
      <w:r>
        <w:rPr>
          <w:rFonts w:hint="eastAsia" w:ascii="仿宋_GB2312" w:eastAsia="仿宋_GB2312"/>
          <w:sz w:val="32"/>
          <w:szCs w:val="32"/>
          <w:lang w:val="en-US" w:eastAsia="zh-CN"/>
        </w:rPr>
        <w:t>0</w:t>
      </w:r>
      <w:r>
        <w:rPr>
          <w:rFonts w:hint="eastAsia" w:ascii="仿宋_GB2312" w:eastAsia="仿宋_GB2312"/>
          <w:sz w:val="11"/>
          <w:szCs w:val="11"/>
        </w:rPr>
        <w:t xml:space="preserve"> </w:t>
      </w:r>
      <w:bookmarkEnd w:id="18"/>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台（套），单位价值100万元以上专用设备</w:t>
      </w:r>
      <w:bookmarkStart w:id="19" w:name="PO_part2A10B4Amount9"/>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19"/>
      <w:r>
        <w:rPr>
          <w:rFonts w:hint="eastAsia" w:ascii="仿宋_GB2312" w:eastAsia="仿宋_GB2312"/>
          <w:sz w:val="32"/>
          <w:szCs w:val="32"/>
        </w:rPr>
        <w:t>台（套）。</w:t>
      </w:r>
    </w:p>
    <w:p>
      <w:pPr>
        <w:numPr>
          <w:ilvl w:val="0"/>
          <w:numId w:val="2"/>
        </w:numPr>
        <w:adjustRightInd w:val="0"/>
        <w:snapToGrid w:val="0"/>
        <w:spacing w:line="560" w:lineRule="exact"/>
        <w:ind w:firstLine="643" w:firstLineChars="200"/>
        <w:rPr>
          <w:rFonts w:hint="eastAsia" w:ascii="仿宋_GB2312" w:eastAsia="仿宋_GB2312" w:cs="Times New Roman"/>
          <w:b/>
          <w:bCs/>
          <w:sz w:val="32"/>
          <w:szCs w:val="32"/>
          <w:lang w:eastAsia="zh-CN"/>
        </w:rPr>
      </w:pPr>
      <w:r>
        <w:rPr>
          <w:rFonts w:hint="eastAsia" w:ascii="仿宋_GB2312" w:eastAsia="仿宋_GB2312" w:cs="Times New Roman"/>
          <w:b/>
          <w:bCs/>
          <w:sz w:val="32"/>
          <w:szCs w:val="32"/>
          <w:lang w:eastAsia="zh-CN"/>
        </w:rPr>
        <w:t>专项转移支付项目情况</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lang w:val="en-US" w:eastAsia="zh-CN"/>
        </w:rPr>
        <w:t>罗山县人力资源和社会保障局</w:t>
      </w:r>
      <w:r>
        <w:rPr>
          <w:rFonts w:hint="eastAsia" w:ascii="仿宋" w:hAnsi="仿宋" w:eastAsia="仿宋" w:cs="宋体"/>
          <w:kern w:val="0"/>
          <w:sz w:val="32"/>
          <w:szCs w:val="32"/>
        </w:rPr>
        <w:t>2022年无专项转移支付项目。</w:t>
      </w:r>
    </w:p>
    <w:p>
      <w:pPr>
        <w:jc w:val="center"/>
        <w:rPr>
          <w:rFonts w:hint="eastAsia" w:ascii="仿宋_GB2312" w:hAnsi="仿宋_GB2312" w:eastAsia="仿宋_GB2312" w:cs="仿宋_GB2312"/>
          <w:color w:val="000000"/>
          <w:sz w:val="32"/>
          <w:szCs w:val="32"/>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20" w:name="PO_part3A10IncReason1"/>
      <w:r>
        <w:rPr>
          <w:rFonts w:hint="eastAsia" w:ascii="仿宋_GB2312" w:hAnsi="仿宋_GB2312" w:eastAsia="仿宋_GB2312" w:cs="仿宋_GB2312"/>
          <w:color w:val="000000"/>
          <w:sz w:val="32"/>
          <w:szCs w:val="32"/>
        </w:rPr>
        <w:t xml:space="preserve"> </w:t>
      </w:r>
      <w:bookmarkEnd w:id="2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4F460"/>
    <w:multiLevelType w:val="singleLevel"/>
    <w:tmpl w:val="8F94F460"/>
    <w:lvl w:ilvl="0" w:tentative="0">
      <w:start w:val="1"/>
      <w:numFmt w:val="chineseCounting"/>
      <w:suff w:val="nothing"/>
      <w:lvlText w:val="%1、"/>
      <w:lvlJc w:val="left"/>
      <w:rPr>
        <w:rFonts w:hint="eastAsia"/>
      </w:rPr>
    </w:lvl>
  </w:abstractNum>
  <w:abstractNum w:abstractNumId="1">
    <w:nsid w:val="ADA5360E"/>
    <w:multiLevelType w:val="singleLevel"/>
    <w:tmpl w:val="ADA5360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63C87"/>
    <w:rsid w:val="02A00C67"/>
    <w:rsid w:val="03313B7A"/>
    <w:rsid w:val="0C0E7B0E"/>
    <w:rsid w:val="0E802204"/>
    <w:rsid w:val="0F947289"/>
    <w:rsid w:val="134A02C0"/>
    <w:rsid w:val="19DC02EF"/>
    <w:rsid w:val="1EC40E63"/>
    <w:rsid w:val="1F2A3A6D"/>
    <w:rsid w:val="212C78E3"/>
    <w:rsid w:val="25825934"/>
    <w:rsid w:val="2617030E"/>
    <w:rsid w:val="296E76E6"/>
    <w:rsid w:val="29E00DE6"/>
    <w:rsid w:val="2E395265"/>
    <w:rsid w:val="2F3A5C7D"/>
    <w:rsid w:val="31D72207"/>
    <w:rsid w:val="388967F6"/>
    <w:rsid w:val="3C131A3E"/>
    <w:rsid w:val="42340B10"/>
    <w:rsid w:val="4B1F17AB"/>
    <w:rsid w:val="509A5E32"/>
    <w:rsid w:val="51E56CA6"/>
    <w:rsid w:val="5329137C"/>
    <w:rsid w:val="53601E31"/>
    <w:rsid w:val="5659653A"/>
    <w:rsid w:val="58843650"/>
    <w:rsid w:val="58D31516"/>
    <w:rsid w:val="5DD02E4E"/>
    <w:rsid w:val="5E2809EB"/>
    <w:rsid w:val="66CB20A8"/>
    <w:rsid w:val="6BF11986"/>
    <w:rsid w:val="6F573C5A"/>
    <w:rsid w:val="70010D02"/>
    <w:rsid w:val="70E60FFB"/>
    <w:rsid w:val="7402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2023-04-17T05:54:00Z</dcterms:created>
  <dc:creator>lenovo</dc:creator>
  <cp:lastModifiedBy>崔崔</cp:lastModifiedBy>
  <dcterms:modified xsi:type="dcterms:W3CDTF">2023-04-17T06:48:35Z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