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asciiTheme="minorEastAsia" w:hAnsiTheme="minorEastAsia" w:cstheme="minorEastAsia"/>
          <w:sz w:val="36"/>
          <w:szCs w:val="36"/>
        </w:rPr>
      </w:pPr>
      <w:r>
        <w:rPr>
          <w:rFonts w:hint="eastAsia" w:asciiTheme="minorEastAsia" w:hAnsiTheme="minorEastAsia" w:cstheme="minorEastAsia"/>
          <w:sz w:val="36"/>
          <w:szCs w:val="36"/>
        </w:rPr>
        <w:t>罗山县生态环境局关于信阳美旺科技有限公司</w:t>
      </w:r>
    </w:p>
    <w:p>
      <w:pPr>
        <w:ind w:firstLine="420"/>
        <w:jc w:val="center"/>
        <w:rPr>
          <w:rFonts w:hint="eastAsia" w:asciiTheme="minorEastAsia" w:hAnsiTheme="minorEastAsia" w:cstheme="minorEastAsia"/>
          <w:sz w:val="36"/>
          <w:szCs w:val="36"/>
        </w:rPr>
      </w:pPr>
      <w:r>
        <w:rPr>
          <w:rFonts w:hint="eastAsia" w:asciiTheme="minorEastAsia" w:hAnsiTheme="minorEastAsia" w:cstheme="minorEastAsia"/>
          <w:sz w:val="36"/>
          <w:szCs w:val="36"/>
        </w:rPr>
        <w:t>年产250万个高端线束项目</w:t>
      </w:r>
    </w:p>
    <w:p>
      <w:pPr>
        <w:ind w:firstLine="420"/>
        <w:jc w:val="center"/>
        <w:rPr>
          <w:rFonts w:hint="eastAsia" w:asciiTheme="minorEastAsia" w:hAnsiTheme="minorEastAsia" w:cstheme="minorEastAsia"/>
          <w:sz w:val="36"/>
          <w:szCs w:val="36"/>
        </w:rPr>
      </w:pPr>
      <w:r>
        <w:rPr>
          <w:rFonts w:hint="eastAsia" w:asciiTheme="minorEastAsia" w:hAnsiTheme="minorEastAsia" w:cstheme="minorEastAsia"/>
          <w:sz w:val="36"/>
          <w:szCs w:val="36"/>
        </w:rPr>
        <w:t>环境影响评价文件做出审批意见的公示</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根据建设项目环境影响评价审批程序的有关规定，我局拟对</w:t>
      </w:r>
      <w:bookmarkStart w:id="0" w:name="_GoBack"/>
      <w:bookmarkEnd w:id="0"/>
      <w:r>
        <w:rPr>
          <w:rFonts w:hint="eastAsia" w:asciiTheme="minorEastAsia" w:hAnsiTheme="minorEastAsia" w:cstheme="minorEastAsia"/>
          <w:sz w:val="28"/>
          <w:szCs w:val="28"/>
        </w:rPr>
        <w:t>信阳美旺科技有限公司年产250万个高端线束项目环境影响评价文件进行审查。现将拟审查的环境影响评价文件基本情况予以公示，公示期为</w:t>
      </w:r>
      <w:r>
        <w:rPr>
          <w:rFonts w:hint="eastAsia" w:asciiTheme="minorEastAsia" w:hAnsiTheme="minorEastAsia" w:cstheme="minorEastAsia"/>
          <w:sz w:val="28"/>
          <w:szCs w:val="28"/>
          <w:lang w:val="en-US" w:eastAsia="zh-CN"/>
        </w:rPr>
        <w:t>5</w:t>
      </w:r>
      <w:r>
        <w:rPr>
          <w:rFonts w:hint="eastAsia" w:asciiTheme="minorEastAsia" w:hAnsiTheme="minorEastAsia" w:cstheme="minorEastAsia"/>
          <w:sz w:val="28"/>
          <w:szCs w:val="28"/>
        </w:rPr>
        <w:t>个工作日，即公示期为202</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25</w:t>
      </w:r>
      <w:r>
        <w:rPr>
          <w:rFonts w:hint="eastAsia" w:asciiTheme="minorEastAsia" w:hAnsiTheme="minorEastAsia" w:cstheme="minorEastAsia"/>
          <w:sz w:val="28"/>
          <w:szCs w:val="28"/>
        </w:rPr>
        <w:t>日-202</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6</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30</w:t>
      </w:r>
      <w:r>
        <w:rPr>
          <w:rFonts w:hint="eastAsia" w:asciiTheme="minorEastAsia" w:hAnsiTheme="minorEastAsia" w:cstheme="minorEastAsia"/>
          <w:sz w:val="28"/>
          <w:szCs w:val="28"/>
        </w:rPr>
        <w:t>日。</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听证权利告知：依据《中华人民共和国行政许可法》，自公示起五日内申请人、利害关系人可提出听证申请。</w:t>
      </w:r>
    </w:p>
    <w:p>
      <w:pPr>
        <w:ind w:firstLine="420"/>
        <w:rPr>
          <w:rFonts w:asciiTheme="minorEastAsia" w:hAnsiTheme="minorEastAsia" w:cstheme="minorEastAsia"/>
          <w:sz w:val="28"/>
          <w:szCs w:val="28"/>
        </w:rPr>
      </w:pPr>
      <w:r>
        <w:rPr>
          <w:rFonts w:hint="eastAsia" w:asciiTheme="minorEastAsia" w:hAnsiTheme="minorEastAsia" w:cstheme="minorEastAsia"/>
          <w:sz w:val="28"/>
          <w:szCs w:val="28"/>
        </w:rPr>
        <w:t>联系方式：电话：2178768，传真：2178768，通讯地址：罗山县行政大道28号</w:t>
      </w: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11"/>
        <w:tblW w:w="10685" w:type="dxa"/>
        <w:tblInd w:w="-8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805"/>
        <w:gridCol w:w="777"/>
        <w:gridCol w:w="586"/>
        <w:gridCol w:w="737"/>
        <w:gridCol w:w="1772"/>
        <w:gridCol w:w="5128"/>
        <w:gridCol w:w="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504" w:type="dxa"/>
            <w:vAlign w:val="center"/>
          </w:tcPr>
          <w:p>
            <w:pPr>
              <w:jc w:val="center"/>
              <w:rPr>
                <w:szCs w:val="21"/>
              </w:rPr>
            </w:pPr>
            <w:r>
              <w:rPr>
                <w:rFonts w:hint="eastAsia"/>
                <w:szCs w:val="21"/>
              </w:rPr>
              <w:t>序号</w:t>
            </w:r>
          </w:p>
        </w:tc>
        <w:tc>
          <w:tcPr>
            <w:tcW w:w="805" w:type="dxa"/>
            <w:vAlign w:val="center"/>
          </w:tcPr>
          <w:p>
            <w:pPr>
              <w:jc w:val="center"/>
              <w:rPr>
                <w:szCs w:val="21"/>
              </w:rPr>
            </w:pPr>
            <w:r>
              <w:rPr>
                <w:rFonts w:hint="eastAsia"/>
                <w:szCs w:val="21"/>
              </w:rPr>
              <w:t>项目名称</w:t>
            </w:r>
          </w:p>
        </w:tc>
        <w:tc>
          <w:tcPr>
            <w:tcW w:w="777" w:type="dxa"/>
            <w:vAlign w:val="center"/>
          </w:tcPr>
          <w:p>
            <w:pPr>
              <w:jc w:val="center"/>
              <w:rPr>
                <w:szCs w:val="21"/>
              </w:rPr>
            </w:pPr>
            <w:r>
              <w:rPr>
                <w:rFonts w:hint="eastAsia"/>
                <w:szCs w:val="21"/>
              </w:rPr>
              <w:t>建设地点</w:t>
            </w:r>
          </w:p>
        </w:tc>
        <w:tc>
          <w:tcPr>
            <w:tcW w:w="586" w:type="dxa"/>
            <w:vAlign w:val="center"/>
          </w:tcPr>
          <w:p>
            <w:pPr>
              <w:jc w:val="center"/>
              <w:rPr>
                <w:szCs w:val="21"/>
              </w:rPr>
            </w:pPr>
            <w:r>
              <w:rPr>
                <w:rFonts w:hint="eastAsia"/>
                <w:szCs w:val="21"/>
              </w:rPr>
              <w:t>建设单位</w:t>
            </w:r>
          </w:p>
        </w:tc>
        <w:tc>
          <w:tcPr>
            <w:tcW w:w="737" w:type="dxa"/>
            <w:vAlign w:val="center"/>
          </w:tcPr>
          <w:p>
            <w:pPr>
              <w:jc w:val="center"/>
              <w:rPr>
                <w:szCs w:val="21"/>
              </w:rPr>
            </w:pPr>
            <w:r>
              <w:rPr>
                <w:rFonts w:hint="eastAsia"/>
                <w:szCs w:val="21"/>
              </w:rPr>
              <w:t>环境影响评价机构</w:t>
            </w:r>
          </w:p>
        </w:tc>
        <w:tc>
          <w:tcPr>
            <w:tcW w:w="1772" w:type="dxa"/>
            <w:vAlign w:val="center"/>
          </w:tcPr>
          <w:p>
            <w:pPr>
              <w:jc w:val="center"/>
              <w:rPr>
                <w:szCs w:val="21"/>
              </w:rPr>
            </w:pPr>
            <w:r>
              <w:rPr>
                <w:rFonts w:hint="eastAsia"/>
                <w:szCs w:val="21"/>
              </w:rPr>
              <w:t>建设项目概况</w:t>
            </w:r>
          </w:p>
        </w:tc>
        <w:tc>
          <w:tcPr>
            <w:tcW w:w="5128" w:type="dxa"/>
            <w:vAlign w:val="center"/>
          </w:tcPr>
          <w:p>
            <w:pPr>
              <w:jc w:val="center"/>
              <w:rPr>
                <w:rFonts w:hint="eastAsia"/>
                <w:szCs w:val="21"/>
              </w:rPr>
            </w:pPr>
            <w:r>
              <w:rPr>
                <w:rFonts w:hint="eastAsia"/>
                <w:szCs w:val="21"/>
              </w:rPr>
              <w:t>主要环境影响及预防或减轻不良环境影响</w:t>
            </w:r>
          </w:p>
          <w:p>
            <w:pPr>
              <w:jc w:val="center"/>
              <w:rPr>
                <w:szCs w:val="21"/>
              </w:rPr>
            </w:pPr>
            <w:r>
              <w:rPr>
                <w:rFonts w:hint="eastAsia"/>
                <w:szCs w:val="21"/>
              </w:rPr>
              <w:t>的对象和措施</w:t>
            </w:r>
          </w:p>
        </w:tc>
        <w:tc>
          <w:tcPr>
            <w:tcW w:w="376" w:type="dxa"/>
            <w:vAlign w:val="center"/>
          </w:tcPr>
          <w:p>
            <w:pPr>
              <w:jc w:val="center"/>
              <w:rPr>
                <w:szCs w:val="21"/>
              </w:rPr>
            </w:pPr>
            <w:r>
              <w:rPr>
                <w:rFonts w:hint="eastAsia"/>
                <w:szCs w:val="21"/>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5" w:hRule="atLeast"/>
        </w:trPr>
        <w:tc>
          <w:tcPr>
            <w:tcW w:w="50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805" w:type="dxa"/>
            <w:vAlign w:val="center"/>
          </w:tcPr>
          <w:p>
            <w:pPr>
              <w:jc w:val="center"/>
              <w:rPr>
                <w:rFonts w:hint="default" w:ascii="Times New Roman" w:hAnsi="Times New Roman" w:cs="Times New Roman"/>
                <w:szCs w:val="21"/>
              </w:rPr>
            </w:pPr>
            <w:r>
              <w:rPr>
                <w:rFonts w:hint="eastAsia" w:ascii="Times New Roman" w:hAnsi="Times New Roman" w:cs="Times New Roman"/>
                <w:sz w:val="21"/>
                <w:szCs w:val="21"/>
                <w:highlight w:val="none"/>
              </w:rPr>
              <w:t>信阳美旺科技有限公司年产250万个高端线束项目</w:t>
            </w:r>
          </w:p>
        </w:tc>
        <w:tc>
          <w:tcPr>
            <w:tcW w:w="777"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 w:val="21"/>
                <w:szCs w:val="21"/>
                <w:highlight w:val="none"/>
              </w:rPr>
              <w:t>河南省信阳市罗山县先进制造业开发区工业二路东段电子信息园A1栋楼2-4层</w:t>
            </w:r>
          </w:p>
        </w:tc>
        <w:tc>
          <w:tcPr>
            <w:tcW w:w="586" w:type="dxa"/>
            <w:vAlign w:val="center"/>
          </w:tcPr>
          <w:p>
            <w:pPr>
              <w:jc w:val="center"/>
              <w:rPr>
                <w:rFonts w:hint="default" w:ascii="Times New Roman" w:hAnsi="Times New Roman" w:cs="Times New Roman"/>
                <w:szCs w:val="21"/>
              </w:rPr>
            </w:pPr>
            <w:r>
              <w:rPr>
                <w:rFonts w:hint="eastAsia" w:ascii="Times New Roman" w:hAnsi="Times New Roman" w:cs="Times New Roman"/>
                <w:sz w:val="21"/>
                <w:szCs w:val="21"/>
                <w:highlight w:val="none"/>
              </w:rPr>
              <w:t>信阳美旺科技有限公司</w:t>
            </w:r>
          </w:p>
        </w:tc>
        <w:tc>
          <w:tcPr>
            <w:tcW w:w="737" w:type="dxa"/>
            <w:vAlign w:val="center"/>
          </w:tcPr>
          <w:p>
            <w:pPr>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漯河锦润环境</w:t>
            </w:r>
            <w:r>
              <w:rPr>
                <w:rFonts w:hint="default" w:ascii="Times New Roman" w:hAnsi="Times New Roman" w:cs="Times New Roman"/>
                <w:szCs w:val="21"/>
              </w:rPr>
              <w:t>科技有限</w:t>
            </w:r>
            <w:r>
              <w:rPr>
                <w:rFonts w:hint="default" w:ascii="Times New Roman" w:hAnsi="Times New Roman" w:cs="Times New Roman"/>
                <w:szCs w:val="21"/>
                <w:lang w:val="en-US" w:eastAsia="zh-CN"/>
              </w:rPr>
              <w:t>公司</w:t>
            </w:r>
          </w:p>
        </w:tc>
        <w:tc>
          <w:tcPr>
            <w:tcW w:w="1772" w:type="dxa"/>
            <w:vAlign w:val="center"/>
          </w:tcPr>
          <w:p>
            <w:pPr>
              <w:jc w:val="center"/>
              <w:rPr>
                <w:rFonts w:hint="default" w:ascii="Times New Roman" w:hAnsi="Times New Roman" w:cs="Times New Roman"/>
                <w:bCs/>
                <w:szCs w:val="21"/>
              </w:rPr>
            </w:pPr>
            <w:r>
              <w:rPr>
                <w:rFonts w:hint="eastAsia" w:ascii="Times New Roman" w:hAnsi="Times New Roman" w:eastAsia="宋体" w:cs="Times New Roman"/>
                <w:lang w:val="en-US" w:eastAsia="zh-CN"/>
              </w:rPr>
              <w:t>项目位于信阳市</w:t>
            </w:r>
            <w:r>
              <w:rPr>
                <w:rFonts w:hint="default" w:ascii="Times New Roman" w:hAnsi="Times New Roman" w:eastAsia="宋体" w:cs="Times New Roman"/>
                <w:lang w:val="en-US" w:eastAsia="zh-CN"/>
              </w:rPr>
              <w:t>罗山县</w:t>
            </w:r>
            <w:r>
              <w:rPr>
                <w:rFonts w:hint="eastAsia" w:ascii="Times New Roman" w:hAnsi="Times New Roman" w:eastAsia="宋体" w:cs="Times New Roman"/>
                <w:lang w:val="en-US" w:eastAsia="zh-CN"/>
              </w:rPr>
              <w:t>先进制造业开发区工业二路东段电子信息园A1栋楼2-4层</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本项目总投资为1000万元，总用地面积1666平方米，建筑面积5000平方米左右。项目共建设6条生产线，其中1-3号全自动生产线、4-5号生产线位于3F生产车间内，6号手工生产线位于2F厂房新能源车间内。主要生产设备有裁切机、自动裁线机、全自动脱皮机、半自动脱皮机、测试机、镭射机、浸锡机、自动连接器焊接机、手动连接器焊接机、激光焊接机、全自动端子机、半自动端子机、空压机、抽烟电机和离心通风机。本项目产品主要为电子线束。建成后可达到年产250万件/年的规模。</w:t>
            </w:r>
          </w:p>
        </w:tc>
        <w:tc>
          <w:tcPr>
            <w:tcW w:w="5128" w:type="dxa"/>
            <w:vAlign w:val="center"/>
          </w:tcPr>
          <w:p>
            <w:pPr>
              <w:jc w:val="center"/>
              <w:rPr>
                <w:rFonts w:hint="default" w:ascii="Times New Roman" w:hAnsi="Times New Roman" w:cs="Times New Roman"/>
              </w:rPr>
            </w:pPr>
            <w:r>
              <w:rPr>
                <w:rFonts w:hint="default" w:ascii="Times New Roman" w:hAnsi="Times New Roman" w:cs="Times New Roman"/>
                <w:lang w:eastAsia="zh-CN"/>
              </w:rPr>
              <w:t>运营</w:t>
            </w:r>
            <w:r>
              <w:rPr>
                <w:rFonts w:hint="default" w:ascii="Times New Roman" w:hAnsi="Times New Roman" w:cs="Times New Roman"/>
              </w:rPr>
              <w:t>期：</w:t>
            </w:r>
          </w:p>
          <w:p>
            <w:pPr>
              <w:numPr>
                <w:ilvl w:val="0"/>
                <w:numId w:val="0"/>
              </w:numPr>
              <w:spacing w:line="240" w:lineRule="auto"/>
              <w:jc w:val="center"/>
              <w:rPr>
                <w:rFonts w:hint="default" w:ascii="Times New Roman" w:hAnsi="Times New Roman" w:cs="Times New Roman"/>
                <w:lang w:val="en-US" w:eastAsia="zh-CN"/>
              </w:rPr>
            </w:pPr>
            <w:r>
              <w:rPr>
                <w:rFonts w:hint="eastAsia" w:ascii="Times New Roman" w:hAnsi="Times New Roman" w:cs="Times New Roman"/>
                <w:lang w:val="en-US" w:eastAsia="zh-CN"/>
              </w:rPr>
              <w:t>1、</w:t>
            </w:r>
            <w:r>
              <w:rPr>
                <w:rFonts w:hint="default" w:ascii="Times New Roman" w:hAnsi="Times New Roman" w:cs="Times New Roman"/>
                <w:sz w:val="21"/>
                <w:szCs w:val="21"/>
                <w:lang w:val="en-US" w:eastAsia="zh-CN"/>
              </w:rPr>
              <w:t>运营期</w:t>
            </w:r>
            <w:r>
              <w:rPr>
                <w:rFonts w:hint="eastAsia" w:ascii="Times New Roman" w:hAnsi="Times New Roman" w:cs="Times New Roman"/>
                <w:sz w:val="21"/>
                <w:szCs w:val="21"/>
                <w:lang w:val="en-US" w:eastAsia="zh-CN"/>
              </w:rPr>
              <w:t>废气：项目运营期废气为焊接工序产生的锡及其化合物，废气经集气罩收集后由楼顶焊接烟尘净化器处理后通过21m高排气筒排放。</w:t>
            </w:r>
          </w:p>
          <w:p>
            <w:pPr>
              <w:numPr>
                <w:ilvl w:val="0"/>
                <w:numId w:val="1"/>
              </w:numPr>
              <w:spacing w:line="240" w:lineRule="auto"/>
              <w:jc w:val="center"/>
              <w:rPr>
                <w:rFonts w:hint="default" w:ascii="Times New Roman" w:hAnsi="Times New Roman" w:cs="Times New Roman"/>
                <w:lang w:val="en-US" w:eastAsia="zh-CN"/>
              </w:rPr>
            </w:pPr>
            <w:r>
              <w:rPr>
                <w:rFonts w:hint="default" w:ascii="Times New Roman" w:hAnsi="Times New Roman" w:cs="Times New Roman"/>
                <w:lang w:val="en-US" w:eastAsia="zh-CN"/>
              </w:rPr>
              <w:t>运营期</w:t>
            </w:r>
            <w:r>
              <w:rPr>
                <w:rFonts w:hint="eastAsia" w:ascii="Times New Roman" w:hAnsi="Times New Roman" w:cs="Times New Roman"/>
                <w:lang w:val="en-US" w:eastAsia="zh-CN"/>
              </w:rPr>
              <w:t>废水：项目运营期不需用水，无</w:t>
            </w:r>
            <w:r>
              <w:rPr>
                <w:rFonts w:hint="eastAsia" w:ascii="Times New Roman" w:hAnsi="Times New Roman" w:cs="Times New Roman"/>
                <w:sz w:val="21"/>
                <w:szCs w:val="21"/>
                <w:lang w:val="en-US" w:eastAsia="zh-CN"/>
              </w:rPr>
              <w:t>生产废水产生；</w:t>
            </w:r>
            <w:r>
              <w:rPr>
                <w:rFonts w:hint="default" w:ascii="Times New Roman" w:hAnsi="Times New Roman" w:cs="Times New Roman"/>
                <w:sz w:val="21"/>
                <w:szCs w:val="21"/>
                <w:lang w:val="en-US" w:eastAsia="zh-CN"/>
              </w:rPr>
              <w:t>生活</w:t>
            </w:r>
            <w:r>
              <w:rPr>
                <w:rFonts w:hint="eastAsia" w:ascii="Times New Roman" w:hAnsi="Times New Roman" w:cs="Times New Roman"/>
                <w:sz w:val="21"/>
                <w:szCs w:val="21"/>
                <w:lang w:val="en-US" w:eastAsia="zh-CN"/>
              </w:rPr>
              <w:t>污</w:t>
            </w:r>
            <w:r>
              <w:rPr>
                <w:rFonts w:hint="default" w:ascii="Times New Roman" w:hAnsi="Times New Roman" w:cs="Times New Roman"/>
                <w:sz w:val="21"/>
                <w:szCs w:val="21"/>
                <w:lang w:val="en-US" w:eastAsia="zh-CN"/>
              </w:rPr>
              <w:t>水</w:t>
            </w:r>
            <w:r>
              <w:rPr>
                <w:rFonts w:hint="eastAsia" w:ascii="Times New Roman" w:hAnsi="Times New Roman" w:cs="Times New Roman"/>
                <w:sz w:val="21"/>
                <w:szCs w:val="21"/>
                <w:lang w:val="en-US" w:eastAsia="zh-CN"/>
              </w:rPr>
              <w:t>经化粪池处理后接罗山县先进制造业开发区污水管网排入罗山县第二污水处理厂处理后排入小潢河。</w:t>
            </w:r>
          </w:p>
          <w:p>
            <w:pPr>
              <w:numPr>
                <w:ilvl w:val="0"/>
                <w:numId w:val="1"/>
              </w:numPr>
              <w:spacing w:line="240" w:lineRule="auto"/>
              <w:ind w:left="0" w:leftChars="0" w:firstLine="0" w:firstLineChars="0"/>
              <w:jc w:val="center"/>
              <w:rPr>
                <w:rFonts w:hint="default" w:ascii="Times New Roman" w:hAnsi="Times New Roman" w:cs="Times New Roman"/>
              </w:rPr>
            </w:pPr>
            <w:r>
              <w:rPr>
                <w:rFonts w:hint="default" w:ascii="Times New Roman" w:hAnsi="Times New Roman" w:cs="Times New Roman"/>
                <w:lang w:val="en-US" w:eastAsia="zh-CN"/>
              </w:rPr>
              <w:t>运营期噪声</w:t>
            </w:r>
            <w:r>
              <w:rPr>
                <w:rFonts w:hint="eastAsia" w:ascii="Times New Roman" w:hAnsi="Times New Roman" w:cs="Times New Roman"/>
                <w:lang w:val="en-US" w:eastAsia="zh-CN"/>
              </w:rPr>
              <w:t>：</w:t>
            </w:r>
            <w:r>
              <w:rPr>
                <w:rFonts w:hint="default" w:ascii="Times New Roman" w:hAnsi="Times New Roman" w:cs="Times New Roman"/>
                <w:lang w:val="en-US" w:eastAsia="zh-CN"/>
              </w:rPr>
              <w:t>运营期噪声主要为设备噪声，</w:t>
            </w:r>
            <w:r>
              <w:rPr>
                <w:rFonts w:hint="eastAsia" w:ascii="Times New Roman" w:hAnsi="Times New Roman" w:cs="Times New Roman"/>
                <w:lang w:val="en-US" w:eastAsia="zh-CN"/>
              </w:rPr>
              <w:t>采取建筑隔声、基础减振后能够满足要求。</w:t>
            </w:r>
          </w:p>
          <w:p>
            <w:pPr>
              <w:numPr>
                <w:ilvl w:val="0"/>
                <w:numId w:val="1"/>
              </w:numPr>
              <w:ind w:left="0" w:leftChars="0" w:firstLine="0" w:firstLineChars="0"/>
              <w:jc w:val="center"/>
              <w:rPr>
                <w:rFonts w:hint="default" w:ascii="Times New Roman" w:hAnsi="Times New Roman" w:cs="Times New Roman"/>
                <w:lang w:val="en-US"/>
              </w:rPr>
            </w:pPr>
            <w:r>
              <w:rPr>
                <w:rFonts w:hint="default" w:ascii="Times New Roman" w:hAnsi="Times New Roman" w:cs="Times New Roman"/>
                <w:lang w:val="en-US" w:eastAsia="zh-CN"/>
              </w:rPr>
              <w:t>运营期</w:t>
            </w:r>
            <w:r>
              <w:rPr>
                <w:rFonts w:hint="eastAsia" w:ascii="Times New Roman" w:hAnsi="Times New Roman" w:cs="Times New Roman"/>
                <w:lang w:val="en-US" w:eastAsia="zh-CN"/>
              </w:rPr>
              <w:t>固废：</w:t>
            </w:r>
            <w:r>
              <w:rPr>
                <w:rFonts w:hint="eastAsia" w:ascii="Times New Roman" w:hAnsi="Times New Roman" w:cs="Times New Roman"/>
                <w:sz w:val="21"/>
                <w:szCs w:val="21"/>
                <w:lang w:val="en-US" w:eastAsia="zh-CN"/>
              </w:rPr>
              <w:t>项目一般固废由一</w:t>
            </w:r>
            <w:r>
              <w:rPr>
                <w:rFonts w:hint="eastAsia"/>
                <w:bCs/>
                <w:szCs w:val="21"/>
              </w:rPr>
              <w:t>般固废</w:t>
            </w:r>
            <w:r>
              <w:rPr>
                <w:bCs/>
                <w:szCs w:val="21"/>
              </w:rPr>
              <w:t>暂存间暂存</w:t>
            </w:r>
            <w:r>
              <w:rPr>
                <w:rFonts w:hint="eastAsia"/>
                <w:bCs/>
                <w:szCs w:val="21"/>
                <w:lang w:val="en-US" w:eastAsia="zh-CN"/>
              </w:rPr>
              <w:t>后外售；</w:t>
            </w:r>
            <w:r>
              <w:rPr>
                <w:rFonts w:hint="eastAsia" w:ascii="Times New Roman" w:hAnsi="Times New Roman" w:cs="Times New Roman"/>
                <w:sz w:val="21"/>
                <w:szCs w:val="21"/>
                <w:lang w:val="en-US" w:eastAsia="zh-CN"/>
              </w:rPr>
              <w:t>项目危险废物主要为废机油、含油废手套，由</w:t>
            </w:r>
            <w:r>
              <w:rPr>
                <w:rFonts w:hint="eastAsia"/>
                <w:szCs w:val="21"/>
              </w:rPr>
              <w:t>厂家</w:t>
            </w:r>
            <w:r>
              <w:rPr>
                <w:rFonts w:hint="eastAsia"/>
                <w:szCs w:val="21"/>
                <w:lang w:val="en-US" w:eastAsia="zh-CN"/>
              </w:rPr>
              <w:t>维修后</w:t>
            </w:r>
            <w:r>
              <w:rPr>
                <w:rFonts w:hint="eastAsia"/>
                <w:szCs w:val="21"/>
              </w:rPr>
              <w:t>带走处理</w:t>
            </w:r>
            <w:r>
              <w:rPr>
                <w:rFonts w:hint="eastAsia"/>
                <w:szCs w:val="21"/>
                <w:lang w:eastAsia="zh-CN"/>
              </w:rPr>
              <w:t>，</w:t>
            </w:r>
            <w:r>
              <w:rPr>
                <w:rFonts w:hint="eastAsia"/>
                <w:szCs w:val="21"/>
                <w:lang w:val="en-US" w:eastAsia="zh-CN"/>
              </w:rPr>
              <w:t>不在厂内暂存；</w:t>
            </w:r>
            <w:r>
              <w:rPr>
                <w:rFonts w:hint="eastAsia" w:ascii="Times New Roman" w:hAnsi="Times New Roman" w:cs="Times New Roman"/>
                <w:lang w:val="en-US" w:eastAsia="zh-CN"/>
              </w:rPr>
              <w:t>员工日常生活产生的生活垃圾</w:t>
            </w:r>
            <w:r>
              <w:rPr>
                <w:rFonts w:hint="default" w:ascii="Times New Roman" w:hAnsi="Times New Roman" w:cs="Times New Roman"/>
                <w:lang w:val="en-US" w:eastAsia="zh-CN"/>
              </w:rPr>
              <w:t>集中收集后</w:t>
            </w:r>
            <w:r>
              <w:rPr>
                <w:rFonts w:hint="eastAsia" w:ascii="Times New Roman" w:hAnsi="Times New Roman" w:cs="Times New Roman"/>
                <w:lang w:val="en-US" w:eastAsia="zh-CN"/>
              </w:rPr>
              <w:t>由</w:t>
            </w:r>
            <w:r>
              <w:rPr>
                <w:rFonts w:hint="default" w:ascii="Times New Roman" w:hAnsi="Times New Roman" w:cs="Times New Roman"/>
                <w:lang w:val="en-US" w:eastAsia="zh-CN"/>
              </w:rPr>
              <w:t>市政环卫处理</w:t>
            </w:r>
            <w:r>
              <w:rPr>
                <w:rFonts w:hint="eastAsia" w:ascii="Times New Roman" w:hAnsi="Times New Roman" w:cs="Times New Roman"/>
                <w:lang w:val="en-US" w:eastAsia="zh-CN"/>
              </w:rPr>
              <w:t>。</w:t>
            </w:r>
          </w:p>
        </w:tc>
        <w:tc>
          <w:tcPr>
            <w:tcW w:w="376" w:type="dxa"/>
            <w:vAlign w:val="center"/>
          </w:tcPr>
          <w:p>
            <w:pPr>
              <w:jc w:val="center"/>
              <w:rPr>
                <w:szCs w:val="21"/>
              </w:rPr>
            </w:pPr>
            <w:r>
              <w:rPr>
                <w:rFonts w:hint="eastAsia"/>
                <w:szCs w:val="21"/>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32129"/>
    <w:multiLevelType w:val="singleLevel"/>
    <w:tmpl w:val="9B83212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043A27C1"/>
    <w:rsid w:val="000A0D11"/>
    <w:rsid w:val="00114AC8"/>
    <w:rsid w:val="001177A7"/>
    <w:rsid w:val="0012554F"/>
    <w:rsid w:val="00175AFC"/>
    <w:rsid w:val="001A139D"/>
    <w:rsid w:val="001D4412"/>
    <w:rsid w:val="001F3451"/>
    <w:rsid w:val="003B5FF4"/>
    <w:rsid w:val="003F3543"/>
    <w:rsid w:val="00400D41"/>
    <w:rsid w:val="004A1281"/>
    <w:rsid w:val="004C4B5A"/>
    <w:rsid w:val="00564D06"/>
    <w:rsid w:val="005B424B"/>
    <w:rsid w:val="00653CE6"/>
    <w:rsid w:val="006935A4"/>
    <w:rsid w:val="00713DAA"/>
    <w:rsid w:val="00716560"/>
    <w:rsid w:val="00761FFE"/>
    <w:rsid w:val="007C46FF"/>
    <w:rsid w:val="0081795A"/>
    <w:rsid w:val="00835A80"/>
    <w:rsid w:val="00862707"/>
    <w:rsid w:val="008672F9"/>
    <w:rsid w:val="00930AC7"/>
    <w:rsid w:val="00950D76"/>
    <w:rsid w:val="00964450"/>
    <w:rsid w:val="00983429"/>
    <w:rsid w:val="009D7E6E"/>
    <w:rsid w:val="00A4038C"/>
    <w:rsid w:val="00A817D6"/>
    <w:rsid w:val="00AB6561"/>
    <w:rsid w:val="00B050D5"/>
    <w:rsid w:val="00C229B6"/>
    <w:rsid w:val="00C7213B"/>
    <w:rsid w:val="00CC71E2"/>
    <w:rsid w:val="00CF796C"/>
    <w:rsid w:val="00D01278"/>
    <w:rsid w:val="00D3685E"/>
    <w:rsid w:val="00D56FC5"/>
    <w:rsid w:val="00D8314F"/>
    <w:rsid w:val="00E42C53"/>
    <w:rsid w:val="00E66C75"/>
    <w:rsid w:val="00EB375D"/>
    <w:rsid w:val="00EC4DFA"/>
    <w:rsid w:val="00EF03B6"/>
    <w:rsid w:val="00F35965"/>
    <w:rsid w:val="00F372B7"/>
    <w:rsid w:val="00F7717A"/>
    <w:rsid w:val="00FE2086"/>
    <w:rsid w:val="00FF041B"/>
    <w:rsid w:val="02685C0C"/>
    <w:rsid w:val="043A27C1"/>
    <w:rsid w:val="07A019A5"/>
    <w:rsid w:val="0BB93035"/>
    <w:rsid w:val="0E2826F4"/>
    <w:rsid w:val="0FC85F3C"/>
    <w:rsid w:val="0FE16FFE"/>
    <w:rsid w:val="10AB3168"/>
    <w:rsid w:val="11277EE2"/>
    <w:rsid w:val="128C513A"/>
    <w:rsid w:val="167364D6"/>
    <w:rsid w:val="16B72867"/>
    <w:rsid w:val="18291542"/>
    <w:rsid w:val="19921369"/>
    <w:rsid w:val="1B5E59A7"/>
    <w:rsid w:val="1C321631"/>
    <w:rsid w:val="1EBB6C6C"/>
    <w:rsid w:val="1F3F164B"/>
    <w:rsid w:val="223B07F0"/>
    <w:rsid w:val="2265586D"/>
    <w:rsid w:val="23276892"/>
    <w:rsid w:val="25AE1989"/>
    <w:rsid w:val="270B5F28"/>
    <w:rsid w:val="2D630BFB"/>
    <w:rsid w:val="2FB35E69"/>
    <w:rsid w:val="31B22151"/>
    <w:rsid w:val="31FC2A1A"/>
    <w:rsid w:val="32C4038E"/>
    <w:rsid w:val="39BF365D"/>
    <w:rsid w:val="3A573895"/>
    <w:rsid w:val="3A921C53"/>
    <w:rsid w:val="40460634"/>
    <w:rsid w:val="42216431"/>
    <w:rsid w:val="42733236"/>
    <w:rsid w:val="470703F1"/>
    <w:rsid w:val="49342C63"/>
    <w:rsid w:val="4FE47345"/>
    <w:rsid w:val="529C2335"/>
    <w:rsid w:val="54106B37"/>
    <w:rsid w:val="55C51BA3"/>
    <w:rsid w:val="5797131D"/>
    <w:rsid w:val="59157F96"/>
    <w:rsid w:val="610C68D8"/>
    <w:rsid w:val="6535464F"/>
    <w:rsid w:val="6623094C"/>
    <w:rsid w:val="668A2779"/>
    <w:rsid w:val="682B68CB"/>
    <w:rsid w:val="68820CB6"/>
    <w:rsid w:val="6BE3323F"/>
    <w:rsid w:val="6BED4459"/>
    <w:rsid w:val="6E1949CD"/>
    <w:rsid w:val="6EAF191C"/>
    <w:rsid w:val="6F8767E2"/>
    <w:rsid w:val="7275252F"/>
    <w:rsid w:val="738844E4"/>
    <w:rsid w:val="73A40BF2"/>
    <w:rsid w:val="744C5512"/>
    <w:rsid w:val="759C07E0"/>
    <w:rsid w:val="787259C9"/>
    <w:rsid w:val="78E73A5B"/>
    <w:rsid w:val="7A480529"/>
    <w:rsid w:val="7F1906E6"/>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rPr>
      <w:kern w:val="0"/>
      <w:sz w:val="24"/>
      <w:szCs w:val="20"/>
    </w:r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customStyle="1" w:styleId="4">
    <w:name w:val="xl27"/>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styleId="6">
    <w:name w:val="Plain Text"/>
    <w:basedOn w:val="1"/>
    <w:qFormat/>
    <w:uiPriority w:val="0"/>
    <w:rPr>
      <w:rFonts w:hint="eastAsia" w:ascii="宋体" w:hAnsi="Courier New"/>
    </w:rPr>
  </w:style>
  <w:style w:type="paragraph" w:styleId="7">
    <w:name w:val="footer"/>
    <w:basedOn w:val="1"/>
    <w:link w:val="15"/>
    <w:qFormat/>
    <w:uiPriority w:val="0"/>
    <w:pPr>
      <w:tabs>
        <w:tab w:val="center" w:pos="4153"/>
        <w:tab w:val="right" w:pos="8306"/>
      </w:tabs>
      <w:snapToGrid w:val="0"/>
      <w:jc w:val="left"/>
    </w:pPr>
    <w:rPr>
      <w:sz w:val="18"/>
      <w:szCs w:val="18"/>
    </w:rPr>
  </w:style>
  <w:style w:type="paragraph" w:styleId="8">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0"/>
    <w:basedOn w:val="1"/>
    <w:qFormat/>
    <w:uiPriority w:val="0"/>
    <w:pPr>
      <w:spacing w:line="460" w:lineRule="exact"/>
      <w:ind w:firstLine="480" w:firstLineChars="200"/>
    </w:pPr>
  </w:style>
  <w:style w:type="character" w:customStyle="1" w:styleId="14">
    <w:name w:val="页眉 字符"/>
    <w:basedOn w:val="12"/>
    <w:link w:val="8"/>
    <w:qFormat/>
    <w:uiPriority w:val="0"/>
    <w:rPr>
      <w:rFonts w:asciiTheme="minorHAnsi" w:hAnsiTheme="minorHAnsi" w:eastAsiaTheme="minorEastAsia" w:cstheme="minorBidi"/>
      <w:kern w:val="2"/>
      <w:sz w:val="18"/>
      <w:szCs w:val="18"/>
    </w:rPr>
  </w:style>
  <w:style w:type="character" w:customStyle="1" w:styleId="15">
    <w:name w:val="页脚 字符"/>
    <w:basedOn w:val="12"/>
    <w:link w:val="7"/>
    <w:qFormat/>
    <w:uiPriority w:val="0"/>
    <w:rPr>
      <w:rFonts w:asciiTheme="minorHAnsi" w:hAnsiTheme="minorHAnsi" w:eastAsiaTheme="minorEastAsia" w:cstheme="minorBidi"/>
      <w:kern w:val="2"/>
      <w:sz w:val="18"/>
      <w:szCs w:val="18"/>
    </w:rPr>
  </w:style>
  <w:style w:type="paragraph" w:styleId="16">
    <w:name w:val="List Paragraph"/>
    <w:basedOn w:val="1"/>
    <w:qFormat/>
    <w:uiPriority w:val="99"/>
    <w:pPr>
      <w:ind w:firstLine="420" w:firstLineChars="200"/>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904</Words>
  <Characters>957</Characters>
  <Lines>10</Lines>
  <Paragraphs>2</Paragraphs>
  <TotalTime>6</TotalTime>
  <ScaleCrop>false</ScaleCrop>
  <LinksUpToDate>false</LinksUpToDate>
  <CharactersWithSpaces>957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正豪</cp:lastModifiedBy>
  <dcterms:modified xsi:type="dcterms:W3CDTF">2023-06-25T08:50:23Z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437D106A55ED4D20AA74BF226683EFC8_13</vt:lpwstr>
  </property>
</Properties>
</file>