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3187" w:beforeLines="550"/>
        <w:jc w:val="center"/>
        <w:textAlignment w:val="auto"/>
        <w:outlineLvl w:val="9"/>
        <w:rPr>
          <w:rFonts w:hint="eastAsia" w:ascii="仿宋" w:hAnsi="仿宋" w:eastAsia="仿宋" w:cs="仿宋"/>
          <w:snapToGrid w:val="0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  <w:t>罗市监〔2023〕10号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871" w:beforeLines="15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kern w:val="0"/>
          <w:sz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kern w:val="0"/>
          <w:sz w:val="44"/>
          <w:lang w:val="en-US" w:eastAsia="zh-CN"/>
          <w14:textFill>
            <w14:solidFill>
              <w14:schemeClr w14:val="tx1"/>
            </w14:solidFill>
          </w14:textFill>
        </w:rPr>
        <w:t>关于印发《罗山县市场监督管理局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kern w:val="0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kern w:val="0"/>
          <w:sz w:val="44"/>
          <w14:textFill>
            <w14:solidFill>
              <w14:schemeClr w14:val="tx1"/>
            </w14:solidFill>
          </w14:textFill>
        </w:rPr>
        <w:t>药品零售经营许可实施“承诺即换证”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292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kern w:val="0"/>
          <w:sz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kern w:val="0"/>
          <w:sz w:val="44"/>
          <w14:textFill>
            <w14:solidFill>
              <w14:schemeClr w14:val="tx1"/>
            </w14:solidFill>
          </w14:textFill>
        </w:rPr>
        <w:t>工作方案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kern w:val="0"/>
          <w:sz w:val="4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kern w:val="0"/>
          <w:sz w:val="44"/>
          <w14:textFill>
            <w14:solidFill>
              <w14:schemeClr w14:val="tx1"/>
            </w14:solidFill>
          </w14:textFill>
        </w:rPr>
        <w:t>试行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kern w:val="0"/>
          <w:sz w:val="44"/>
          <w:lang w:eastAsia="zh-CN"/>
          <w14:textFill>
            <w14:solidFill>
              <w14:schemeClr w14:val="tx1"/>
            </w14:solidFill>
          </w14:textFill>
        </w:rPr>
        <w:t>）》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kern w:val="0"/>
          <w:sz w:val="44"/>
          <w:lang w:val="en-US" w:eastAsia="zh-CN"/>
          <w14:textFill>
            <w14:solidFill>
              <w14:schemeClr w14:val="tx1"/>
            </w14:solidFill>
          </w14:textFill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left="0" w:lef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napToGrid w:val="0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  <w:t>机关各股室、局属各单位：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left="0" w:leftChars="0" w:firstLine="632" w:firstLineChars="200"/>
        <w:jc w:val="left"/>
        <w:textAlignment w:val="auto"/>
        <w:outlineLvl w:val="9"/>
        <w:rPr>
          <w:rFonts w:hint="eastAsia" w:ascii="仿宋" w:hAnsi="仿宋" w:cs="仿宋"/>
          <w:snapToGrid w:val="0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  <w:t>经研究，现将《罗山县市场监督管理局药品零售经营许可实施“承诺即换证”工作方案</w:t>
      </w:r>
      <w:r>
        <w:rPr>
          <w:rFonts w:hint="eastAsia" w:ascii="仿宋" w:hAnsi="仿宋" w:cs="仿宋"/>
          <w:snapToGrid w:val="0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snapToGrid w:val="0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  <w:t>试行</w:t>
      </w:r>
      <w:r>
        <w:rPr>
          <w:rFonts w:hint="eastAsia" w:ascii="仿宋" w:hAnsi="仿宋" w:cs="仿宋"/>
          <w:snapToGrid w:val="0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  <w:t>）》印发给你们，请结合实际，认真贯彻落实。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left="0" w:leftChars="0" w:firstLine="632" w:firstLineChars="200"/>
        <w:jc w:val="left"/>
        <w:textAlignment w:val="auto"/>
        <w:outlineLvl w:val="9"/>
        <w:rPr>
          <w:rFonts w:hint="eastAsia" w:ascii="仿宋" w:hAnsi="仿宋" w:cs="仿宋"/>
          <w:snapToGrid w:val="0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left="0" w:leftChars="0" w:firstLine="632" w:firstLineChars="200"/>
        <w:jc w:val="left"/>
        <w:textAlignment w:val="auto"/>
        <w:outlineLvl w:val="9"/>
        <w:rPr>
          <w:rFonts w:hint="eastAsia" w:ascii="仿宋" w:hAnsi="仿宋" w:cs="仿宋"/>
          <w:snapToGrid w:val="0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left="0" w:leftChars="0" w:firstLine="632" w:firstLineChars="200"/>
        <w:jc w:val="left"/>
        <w:textAlignment w:val="auto"/>
        <w:outlineLvl w:val="9"/>
        <w:rPr>
          <w:rFonts w:hint="eastAsia" w:ascii="仿宋" w:hAnsi="仿宋" w:cs="仿宋"/>
          <w:snapToGrid w:val="0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left="4108" w:leftChars="1300" w:firstLine="632" w:firstLineChars="200"/>
        <w:jc w:val="center"/>
        <w:textAlignment w:val="auto"/>
        <w:outlineLvl w:val="9"/>
        <w:rPr>
          <w:rFonts w:hint="eastAsia" w:ascii="仿宋" w:hAnsi="仿宋" w:eastAsia="仿宋" w:cs="仿宋"/>
          <w:snapToGrid w:val="0"/>
          <w:color w:val="000000" w:themeColor="text1"/>
          <w:kern w:val="0"/>
          <w:sz w:val="32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0"/>
          <w:sz w:val="32"/>
          <w:lang w:val="en-US" w:eastAsia="ja-JP"/>
          <w14:textFill>
            <w14:solidFill>
              <w14:schemeClr w14:val="tx1"/>
            </w14:solidFill>
          </w14:textFill>
        </w:rPr>
        <w:t>2023年3月</w:t>
      </w:r>
      <w:r>
        <w:rPr>
          <w:rFonts w:hint="eastAsia" w:ascii="仿宋" w:hAnsi="仿宋" w:cs="仿宋"/>
          <w:snapToGrid w:val="0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snapToGrid w:val="0"/>
          <w:color w:val="000000" w:themeColor="text1"/>
          <w:kern w:val="0"/>
          <w:sz w:val="32"/>
          <w:lang w:val="en-US" w:eastAsia="ja-JP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kern w:val="0"/>
          <w:sz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kern w:val="0"/>
          <w:sz w:val="44"/>
          <w:lang w:val="en-US" w:eastAsia="zh-CN"/>
          <w14:textFill>
            <w14:solidFill>
              <w14:schemeClr w14:val="tx1"/>
            </w14:solidFill>
          </w14:textFill>
        </w:rPr>
        <w:t>罗山县市场监督管理局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kern w:val="0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kern w:val="0"/>
          <w:sz w:val="44"/>
          <w14:textFill>
            <w14:solidFill>
              <w14:schemeClr w14:val="tx1"/>
            </w14:solidFill>
          </w14:textFill>
        </w:rPr>
        <w:t>药品零售经营许可实施“承诺即换证”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581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kern w:val="0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kern w:val="0"/>
          <w:sz w:val="44"/>
          <w14:textFill>
            <w14:solidFill>
              <w14:schemeClr w14:val="tx1"/>
            </w14:solidFill>
          </w14:textFill>
        </w:rPr>
        <w:t>工作方案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kern w:val="0"/>
          <w:sz w:val="4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kern w:val="0"/>
          <w:sz w:val="44"/>
          <w14:textFill>
            <w14:solidFill>
              <w14:schemeClr w14:val="tx1"/>
            </w14:solidFill>
          </w14:textFill>
        </w:rPr>
        <w:t>试行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kern w:val="0"/>
          <w:sz w:val="44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79" w:lineRule="exact"/>
        <w:ind w:right="0" w:firstLine="632" w:firstLineChars="200"/>
        <w:jc w:val="both"/>
        <w:outlineLvl w:val="9"/>
        <w:rPr>
          <w:rFonts w:hint="eastAsia" w:ascii="仿宋" w:hAnsi="仿宋" w:eastAsia="仿宋" w:cs="仿宋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为进一步优化营商环境，拓展药品许可改革空间，精简审批程序、提高审批效率，方便企业换证，结合我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实际情况，制定本方案。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79" w:lineRule="exact"/>
        <w:ind w:right="0" w:firstLine="632" w:firstLineChars="200"/>
        <w:jc w:val="left"/>
        <w:rPr>
          <w:rFonts w:hint="eastAsia" w:ascii="黑体" w:hAnsi="黑体" w:eastAsia="黑体" w:cs="黑体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一、指导思想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79" w:lineRule="exact"/>
        <w:ind w:right="0" w:firstLine="632" w:firstLineChars="200"/>
        <w:jc w:val="both"/>
        <w:outlineLvl w:val="9"/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坚持以习近平新时代中国特色社会主义思想为指导，全面贯彻党的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二十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大和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二十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届历次全会精神，落实国务院深化“放管服”改革、优化营商环境的决策部署，深入推进“证照分离”改革，创新政府管理理念和服务方式，全面提升政务服务效能，以更快更好方便企业和群众办事为导向，着力打造“快办、严管、便民”的审批服务模式，不断优化办事创业和营商环境，为建设人民满意的服务型政府提供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有力保障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79" w:lineRule="exact"/>
        <w:ind w:right="0" w:firstLine="632" w:firstLineChars="200"/>
        <w:jc w:val="left"/>
        <w:rPr>
          <w:rFonts w:hint="eastAsia" w:ascii="黑体" w:hAnsi="黑体" w:eastAsia="黑体" w:cs="黑体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二、工作目标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79" w:lineRule="exact"/>
        <w:ind w:right="0" w:firstLine="632" w:firstLineChars="200"/>
        <w:jc w:val="left"/>
        <w:outlineLvl w:val="9"/>
        <w:rPr>
          <w:rFonts w:hint="eastAsia" w:ascii="仿宋" w:hAnsi="仿宋" w:eastAsia="仿宋" w:cs="仿宋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根据《中华人民共和国药品管理法》《药品经营许可证管理办法》《药品经营质量管理规范》《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河南省</w:t>
      </w:r>
      <w:r>
        <w:rPr>
          <w:rFonts w:hint="eastAsia" w:ascii="仿宋" w:hAnsi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证照分离</w:t>
      </w:r>
      <w:r>
        <w:rPr>
          <w:rFonts w:hint="eastAsia" w:ascii="仿宋" w:hAnsi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”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改革全覆盖实施方案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》等法律法规和文件规定，开展我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药品零售经营许可实施“承诺即换证”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，遵循以承诺换证为先、违诺重惩于后原则，努力完善配套监管制度，强化事中事后监管，重在将监管重心向“事中事后”转移，旨在努力打造诚实守信的经营环境，更大限度地激发市场主体活力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助推企业高质量发展。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79" w:lineRule="exact"/>
        <w:ind w:right="0" w:firstLine="632" w:firstLineChars="200"/>
        <w:jc w:val="left"/>
        <w:rPr>
          <w:rFonts w:hint="eastAsia" w:ascii="黑体" w:hAnsi="黑体" w:eastAsia="黑体" w:cs="黑体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 w:cs="黑体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、改革任务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79" w:lineRule="exact"/>
        <w:ind w:right="0" w:firstLine="632" w:firstLineChars="200"/>
        <w:jc w:val="left"/>
        <w:outlineLvl w:val="9"/>
        <w:rPr>
          <w:rFonts w:hint="eastAsia" w:ascii="仿宋" w:hAnsi="仿宋" w:eastAsia="仿宋" w:cs="仿宋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在全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范围内，《药品经营许可证》有效期届满、需要继续经营的药品零售单体药店及药品零售连锁门店，换发药品零售经营许可证时实施“承诺即换证”。申请人自愿承诺符合许可条件并按要求提交材料的，当场作出许可决定，并在发证后1个月内进行现场核查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79" w:lineRule="exact"/>
        <w:ind w:right="0" w:firstLine="632" w:firstLineChars="200"/>
        <w:jc w:val="left"/>
        <w:rPr>
          <w:rFonts w:hint="eastAsia" w:ascii="黑体" w:hAnsi="黑体" w:eastAsia="黑体" w:cs="黑体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 w:cs="黑体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改革</w:t>
      </w:r>
      <w:r>
        <w:rPr>
          <w:rFonts w:hint="eastAsia" w:ascii="黑体" w:hAnsi="黑体" w:eastAsia="黑体" w:cs="黑体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措施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79" w:lineRule="exact"/>
        <w:ind w:right="0" w:firstLine="632" w:firstLineChars="200"/>
        <w:jc w:val="left"/>
        <w:rPr>
          <w:rFonts w:hint="eastAsia" w:ascii="楷体" w:hAnsi="楷体" w:eastAsia="楷体" w:cs="楷体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适用“承诺即换证”企业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79" w:lineRule="exact"/>
        <w:ind w:right="0" w:firstLine="632" w:firstLineChars="200"/>
        <w:jc w:val="left"/>
        <w:outlineLvl w:val="9"/>
        <w:rPr>
          <w:rFonts w:hint="eastAsia" w:ascii="仿宋" w:hAnsi="仿宋" w:eastAsia="仿宋" w:cs="仿宋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申请材料符合要求，企业未进行任何变更，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两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年内未有违法违规经营行为的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79" w:lineRule="exact"/>
        <w:ind w:right="0" w:firstLine="632" w:firstLineChars="200"/>
        <w:jc w:val="left"/>
        <w:outlineLvl w:val="9"/>
        <w:rPr>
          <w:rFonts w:hint="eastAsia" w:ascii="仿宋" w:hAnsi="仿宋" w:eastAsia="仿宋" w:cs="仿宋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申请材料符合要求，企业半年内进行过经营地址变更、增加生物制品或中药饮片经营范围，且通过现场核查，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两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年内未有违法违规经营行为的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79" w:lineRule="exact"/>
        <w:ind w:right="0" w:firstLine="632" w:firstLineChars="200"/>
        <w:jc w:val="left"/>
        <w:outlineLvl w:val="9"/>
        <w:rPr>
          <w:rFonts w:hint="eastAsia" w:ascii="仿宋" w:hAnsi="仿宋" w:eastAsia="仿宋" w:cs="仿宋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申请材料符合要求，企业进行过企业名称、企业负责人、质量负责人不需要现场核查业务事项变更的，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年内未有违法违规经营行为。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79" w:lineRule="exact"/>
        <w:ind w:right="0" w:firstLine="632" w:firstLineChars="200"/>
        <w:jc w:val="left"/>
        <w:rPr>
          <w:rFonts w:hint="eastAsia" w:ascii="楷体" w:hAnsi="楷体" w:eastAsia="楷体" w:cs="楷体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不适用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承诺即换证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企业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79" w:lineRule="exact"/>
        <w:ind w:right="0" w:firstLine="632" w:firstLineChars="200"/>
        <w:jc w:val="left"/>
        <w:outlineLvl w:val="9"/>
        <w:rPr>
          <w:rFonts w:hint="eastAsia" w:ascii="仿宋" w:hAnsi="仿宋" w:eastAsia="仿宋" w:cs="仿宋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1.两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年内有违法违规经营行为的；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79" w:lineRule="exact"/>
        <w:ind w:right="0" w:firstLine="632" w:firstLineChars="200"/>
        <w:jc w:val="left"/>
        <w:outlineLvl w:val="9"/>
        <w:rPr>
          <w:rFonts w:hint="eastAsia" w:ascii="仿宋" w:hAnsi="仿宋" w:eastAsia="仿宋" w:cs="仿宋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企业因违法经营已被立案调查，尚未结案的，或已经作出行政处罚决定，尚未履行处罚的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79" w:lineRule="exact"/>
        <w:ind w:right="0" w:firstLine="632" w:firstLineChars="200"/>
        <w:jc w:val="left"/>
        <w:outlineLvl w:val="9"/>
        <w:rPr>
          <w:rFonts w:hint="eastAsia" w:ascii="仿宋" w:hAnsi="仿宋" w:eastAsia="仿宋" w:cs="仿宋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3.五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年内有其他重大违法行为，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涉及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刑事、民事行为的。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79" w:lineRule="exact"/>
        <w:ind w:right="0" w:firstLine="632" w:firstLineChars="200"/>
        <w:jc w:val="left"/>
        <w:outlineLvl w:val="9"/>
        <w:rPr>
          <w:rFonts w:hint="eastAsia" w:ascii="仿宋" w:hAnsi="仿宋" w:eastAsia="仿宋" w:cs="仿宋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对不符合“承诺即换证”条件的企业，审批部门按照以往程序审批，先受理审查申请材料，再进行现场核查，验收通过后再核发许可证。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79" w:lineRule="exact"/>
        <w:ind w:left="0" w:right="0" w:firstLine="420"/>
        <w:jc w:val="left"/>
        <w:rPr>
          <w:rFonts w:hint="eastAsia" w:ascii="楷体" w:hAnsi="楷体" w:eastAsia="楷体" w:cs="楷体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（三）开展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证后核查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79" w:lineRule="exact"/>
        <w:ind w:right="0" w:firstLine="632" w:firstLineChars="200"/>
        <w:jc w:val="left"/>
        <w:outlineLvl w:val="9"/>
        <w:rPr>
          <w:rFonts w:hint="eastAsia" w:ascii="仿宋" w:hAnsi="仿宋" w:eastAsia="仿宋" w:cs="仿宋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对承诺制换证取得许可证书的企业，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市场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监管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局将在1个月内进行现场核查，核查人员不能少于2名。发现申请人实际情况与承诺内容不符的，应当要求其限期整改。逾期不改或整改后仍不符合条件的，县市场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监管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局将应当依法依规、按法定程序撤销其药品经营许可证书，并在官方网站上公示。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79" w:lineRule="exact"/>
        <w:ind w:right="0" w:firstLine="632" w:firstLineChars="200"/>
        <w:jc w:val="left"/>
        <w:outlineLvl w:val="9"/>
        <w:rPr>
          <w:rFonts w:hint="eastAsia" w:ascii="仿宋" w:hAnsi="仿宋" w:eastAsia="仿宋" w:cs="仿宋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县市场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监管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局将对不能履行承诺的换证企业，不再将其纳入承诺制审批范畴。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79" w:lineRule="exact"/>
        <w:ind w:left="0" w:right="0" w:firstLine="420"/>
        <w:jc w:val="left"/>
        <w:rPr>
          <w:rFonts w:hint="eastAsia" w:ascii="楷体" w:hAnsi="楷体" w:eastAsia="楷体" w:cs="楷体"/>
          <w:b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（四）加强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事中事后监管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79" w:lineRule="exact"/>
        <w:ind w:right="0" w:firstLine="632" w:firstLineChars="200"/>
        <w:jc w:val="left"/>
        <w:outlineLvl w:val="9"/>
        <w:rPr>
          <w:rFonts w:hint="eastAsia" w:ascii="仿宋" w:hAnsi="仿宋" w:eastAsia="仿宋" w:cs="仿宋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局审批部门应及时将承诺制换证企业信息推送至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局属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属地监管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职责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企业从事行政审批事项活动进行监督检查，监督企业落实主体责任，规范经营，守法经营。发现有违法行为的，应依法处理。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79" w:lineRule="exact"/>
        <w:ind w:right="0" w:rightChars="0" w:firstLine="632" w:firstLineChars="200"/>
        <w:jc w:val="left"/>
        <w:rPr>
          <w:rFonts w:hint="eastAsia" w:ascii="黑体" w:hAnsi="黑体" w:eastAsia="黑体" w:cs="黑体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黑体" w:hAnsi="黑体" w:eastAsia="黑体" w:cs="黑体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工作要求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79" w:lineRule="exact"/>
        <w:ind w:right="0" w:rightChars="0" w:firstLine="632" w:firstLineChars="200"/>
        <w:jc w:val="left"/>
        <w:outlineLvl w:val="9"/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（一）加强人员培训。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各单位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要认真学习，做好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人员的业务培训，确保经办人员熟知“承诺即换证”的具体内容、实施范围、措施和流程。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79" w:lineRule="exact"/>
        <w:ind w:right="0" w:rightChars="0" w:firstLine="632" w:firstLineChars="200"/>
        <w:jc w:val="left"/>
        <w:outlineLvl w:val="9"/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（二）做好宣传引导。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利用宣传横幅、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手机APP、微信公众号等渠道向社会宣传，提高社会各界知晓率，让更多市场主体享受到改革红利。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79" w:lineRule="exact"/>
        <w:ind w:right="0" w:rightChars="0" w:firstLine="632" w:firstLineChars="200"/>
        <w:jc w:val="left"/>
        <w:outlineLvl w:val="9"/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（三）加强督导检查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要提高站位，强化落实，要严把准入关口，对不符合条件和达不到标准的药品零售经营企业，不予以换发许可证。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局将派出检查组对全县“承诺即换证”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开展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定期不定期的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检查、暗访，督促改革落到实处，从而进一步激发市场主体活力，提升市场主体的便利度。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79" w:lineRule="exact"/>
        <w:ind w:left="0" w:leftChars="0" w:right="0" w:firstLine="632" w:firstLineChars="200"/>
        <w:jc w:val="left"/>
        <w:rPr>
          <w:rFonts w:hint="default" w:ascii="Times New Roman" w:hAnsi="Times New Roman" w:cs="Times New Roman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79" w:lineRule="exact"/>
        <w:ind w:left="0" w:leftChars="0" w:right="0" w:firstLine="632" w:firstLineChars="200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附件：1.企业承诺书（模板）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79" w:lineRule="exact"/>
        <w:ind w:left="948" w:leftChars="300" w:right="0" w:firstLine="632" w:firstLineChars="200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2.承诺即可换证事项清单</w:t>
      </w:r>
    </w:p>
    <w:p>
      <w:pPr>
        <w:rPr>
          <w:rFonts w:hint="eastAsia" w:ascii="黑体" w:hAnsi="黑体" w:eastAsia="黑体" w:cs="黑体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page"/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79" w:lineRule="exact"/>
        <w:ind w:right="0"/>
        <w:jc w:val="left"/>
        <w:rPr>
          <w:rFonts w:hint="eastAsia" w:eastAsia="宋体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center"/>
        <w:rPr>
          <w:rFonts w:hint="default" w:ascii="方正小标宋简体" w:hAnsi="方正小标宋简体" w:eastAsia="方正小标宋简体" w:cs="方正小标宋简体"/>
          <w:snapToGrid w:val="0"/>
          <w:color w:val="000000" w:themeColor="text1"/>
          <w:kern w:val="0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000000" w:themeColor="text1"/>
          <w:spacing w:val="0"/>
          <w:kern w:val="0"/>
          <w:sz w:val="44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企业承诺书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000000" w:themeColor="text1"/>
          <w:spacing w:val="0"/>
          <w:kern w:val="0"/>
          <w:sz w:val="44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000000" w:themeColor="text1"/>
          <w:spacing w:val="0"/>
          <w:kern w:val="0"/>
          <w:sz w:val="44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模板）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79" w:lineRule="exact"/>
        <w:ind w:left="0" w:leftChars="0" w:right="0" w:firstLine="0" w:firstLineChars="0"/>
        <w:jc w:val="both"/>
        <w:textAlignment w:val="auto"/>
        <w:rPr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罗山县市场监督管理局</w:t>
      </w:r>
      <w:r>
        <w:rPr>
          <w:rFonts w:hint="default" w:ascii="Times New Roman" w:hAnsi="Times New Roman" w:cs="Times New Roman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79" w:lineRule="exact"/>
        <w:ind w:left="0" w:leftChars="0" w:right="0" w:firstLine="632" w:firstLineChars="200"/>
        <w:jc w:val="both"/>
        <w:textAlignment w:val="auto"/>
        <w:rPr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一、我公司承诺：已认真学习《</w:t>
      </w:r>
      <w:r>
        <w:rPr>
          <w:rFonts w:hint="eastAsia" w:ascii="Times New Roman" w:hAnsi="Times New Roman" w:cs="Times New Roman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罗山县</w:t>
      </w:r>
      <w:r>
        <w:rPr>
          <w:rFonts w:hint="default" w:ascii="Times New Roman" w:hAnsi="Times New Roman" w:cs="Times New Roman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市场监督管理局药品零售经营许可实施“承诺即换证”工作方案（试行）》要求，并全部知晓理解：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79" w:lineRule="exact"/>
        <w:ind w:left="0" w:leftChars="0" w:right="0" w:firstLine="632" w:firstLineChars="200"/>
        <w:jc w:val="both"/>
        <w:textAlignment w:val="auto"/>
        <w:rPr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二、按照《方案》要求，经公司自查，达到通过《药品经营质量管理规范》认证检查标准。同时做到执业药师或从业药师在职在岗、供销渠道合法、计算机系统功能健全、冷链药品储存等符合法律法规要求；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79" w:lineRule="exact"/>
        <w:ind w:left="0" w:leftChars="0" w:right="0" w:firstLine="632" w:firstLineChars="200"/>
        <w:jc w:val="both"/>
        <w:textAlignment w:val="auto"/>
        <w:rPr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三、我公司无被相关部门立案调查，尚未结案的情形：无已经作出行政处罚决定，尚未履行处罚的情形：无近2年内受到相关监管部门行政处罚的情形；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79" w:lineRule="exact"/>
        <w:ind w:left="0" w:leftChars="0" w:right="0" w:firstLine="632" w:firstLineChars="200"/>
        <w:jc w:val="both"/>
        <w:textAlignment w:val="auto"/>
        <w:rPr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四、我公司提供的换发证书的材料与实际相符，绝无任何</w:t>
      </w:r>
      <w:r>
        <w:rPr>
          <w:rFonts w:hint="eastAsia" w:ascii="Times New Roman" w:hAnsi="Times New Roman" w:cs="Times New Roman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虚假</w:t>
      </w:r>
      <w:r>
        <w:rPr>
          <w:rFonts w:hint="default" w:ascii="Times New Roman" w:hAnsi="Times New Roman" w:cs="Times New Roman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行为；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79" w:lineRule="exact"/>
        <w:ind w:left="0" w:leftChars="0" w:right="0" w:firstLine="632" w:firstLineChars="200"/>
        <w:jc w:val="both"/>
        <w:textAlignment w:val="auto"/>
        <w:rPr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五、检查发现我公司存在与换证材料不相符的问题，并作出撤销行政许可决定所造成的经济和法律后果，公司愿意自行承担；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79" w:lineRule="exact"/>
        <w:ind w:left="0" w:leftChars="0" w:right="0" w:firstLine="632" w:firstLineChars="200"/>
        <w:jc w:val="both"/>
        <w:textAlignment w:val="auto"/>
        <w:rPr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六、以上承诺真实、有效。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79" w:lineRule="exact"/>
        <w:ind w:leftChars="1400" w:right="0"/>
        <w:jc w:val="center"/>
        <w:textAlignment w:val="auto"/>
        <w:rPr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XXXX</w:t>
      </w:r>
      <w:r>
        <w:rPr>
          <w:rFonts w:hint="eastAsia" w:ascii="Times New Roman" w:hAnsi="Times New Roman" w:cs="Times New Roman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公章</w:t>
      </w:r>
      <w:r>
        <w:rPr>
          <w:rFonts w:hint="eastAsia" w:ascii="Times New Roman" w:hAnsi="Times New Roman" w:cs="Times New Roman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79" w:lineRule="exact"/>
        <w:ind w:leftChars="1400" w:right="0"/>
        <w:jc w:val="center"/>
        <w:textAlignment w:val="auto"/>
        <w:rPr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cs="Times New Roman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i w:val="0"/>
          <w:iCs w:val="0"/>
          <w:caps w:val="0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年X月X日</w:t>
      </w:r>
    </w:p>
    <w:p>
      <w:pPr>
        <w:spacing w:line="579" w:lineRule="exact"/>
        <w:jc w:val="both"/>
        <w:rPr>
          <w:rFonts w:hint="eastAsia" w:ascii="黑体" w:hAnsi="黑体" w:eastAsia="黑体" w:cs="黑体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581" w:beforeLines="100" w:after="581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kern w:val="0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kern w:val="0"/>
          <w:sz w:val="44"/>
          <w:lang w:eastAsia="zh-CN"/>
          <w14:textFill>
            <w14:solidFill>
              <w14:schemeClr w14:val="tx1"/>
            </w14:solidFill>
          </w14:textFill>
        </w:rPr>
        <w:t>承诺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kern w:val="0"/>
          <w:sz w:val="44"/>
          <w14:textFill>
            <w14:solidFill>
              <w14:schemeClr w14:val="tx1"/>
            </w14:solidFill>
          </w14:textFill>
        </w:rPr>
        <w:t>即可换证清单</w:t>
      </w:r>
    </w:p>
    <w:tbl>
      <w:tblPr>
        <w:tblStyle w:val="6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7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spacing w:line="579" w:lineRule="exact"/>
              <w:jc w:val="center"/>
              <w:outlineLvl w:val="9"/>
              <w:rPr>
                <w:rFonts w:hint="eastAsia" w:ascii="黑体" w:hAnsi="黑体" w:eastAsia="黑体" w:cs="黑体"/>
                <w:snapToGrid w:val="0"/>
                <w:color w:val="000000" w:themeColor="text1"/>
                <w:kern w:val="0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kern w:val="0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939" w:type="dxa"/>
            <w:noWrap w:val="0"/>
            <w:vAlign w:val="center"/>
          </w:tcPr>
          <w:p>
            <w:pPr>
              <w:spacing w:line="579" w:lineRule="exact"/>
              <w:jc w:val="center"/>
              <w:outlineLvl w:val="9"/>
              <w:rPr>
                <w:rFonts w:hint="eastAsia" w:ascii="黑体" w:hAnsi="黑体" w:eastAsia="黑体" w:cs="黑体"/>
                <w:snapToGrid w:val="0"/>
                <w:color w:val="000000" w:themeColor="text1"/>
                <w:kern w:val="0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kern w:val="0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业务办理项名称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spacing w:line="579" w:lineRule="exact"/>
              <w:jc w:val="center"/>
              <w:outlineLvl w:val="9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39" w:type="dxa"/>
            <w:noWrap w:val="0"/>
            <w:vAlign w:val="center"/>
          </w:tcPr>
          <w:p>
            <w:pPr>
              <w:spacing w:line="579" w:lineRule="exact"/>
              <w:jc w:val="center"/>
              <w:outlineLvl w:val="9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药品经营许可证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零售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经营范围变更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核减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spacing w:line="579" w:lineRule="exact"/>
              <w:jc w:val="center"/>
              <w:outlineLvl w:val="9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39" w:type="dxa"/>
            <w:noWrap w:val="0"/>
            <w:vAlign w:val="center"/>
          </w:tcPr>
          <w:p>
            <w:pPr>
              <w:spacing w:line="579" w:lineRule="exact"/>
              <w:jc w:val="center"/>
              <w:outlineLvl w:val="9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药品经营许可证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零售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企业名称变更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spacing w:line="579" w:lineRule="exact"/>
              <w:jc w:val="center"/>
              <w:outlineLvl w:val="9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39" w:type="dxa"/>
            <w:noWrap w:val="0"/>
            <w:vAlign w:val="center"/>
          </w:tcPr>
          <w:p>
            <w:pPr>
              <w:spacing w:line="579" w:lineRule="exact"/>
              <w:jc w:val="center"/>
              <w:outlineLvl w:val="9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药品经营许可证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零售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质量负责人变更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spacing w:line="579" w:lineRule="exact"/>
              <w:jc w:val="center"/>
              <w:outlineLvl w:val="9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39" w:type="dxa"/>
            <w:noWrap w:val="0"/>
            <w:vAlign w:val="center"/>
          </w:tcPr>
          <w:p>
            <w:pPr>
              <w:spacing w:line="579" w:lineRule="exact"/>
              <w:jc w:val="center"/>
              <w:outlineLvl w:val="9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药品经营许可证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零售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企业负责人变更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spacing w:line="579" w:lineRule="exact"/>
              <w:jc w:val="center"/>
              <w:outlineLvl w:val="9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39" w:type="dxa"/>
            <w:noWrap w:val="0"/>
            <w:vAlign w:val="center"/>
          </w:tcPr>
          <w:p>
            <w:pPr>
              <w:spacing w:line="579" w:lineRule="exact"/>
              <w:jc w:val="center"/>
              <w:outlineLvl w:val="9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药品经营许可证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零售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注册地址变更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文字性变更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spacing w:line="579" w:lineRule="exact"/>
              <w:jc w:val="center"/>
              <w:outlineLvl w:val="9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939" w:type="dxa"/>
            <w:noWrap w:val="0"/>
            <w:vAlign w:val="center"/>
          </w:tcPr>
          <w:p>
            <w:pPr>
              <w:spacing w:line="579" w:lineRule="exact"/>
              <w:jc w:val="center"/>
              <w:outlineLvl w:val="9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药品经营许可证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零售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法定代表人变更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spacing w:line="579" w:lineRule="exact"/>
              <w:jc w:val="center"/>
              <w:outlineLvl w:val="9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939" w:type="dxa"/>
            <w:noWrap w:val="0"/>
            <w:vAlign w:val="center"/>
          </w:tcPr>
          <w:p>
            <w:pPr>
              <w:spacing w:line="579" w:lineRule="exact"/>
              <w:jc w:val="center"/>
              <w:outlineLvl w:val="9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药品经营许可证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零售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换发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仅限承诺即可准营</w:t>
            </w:r>
            <w:r>
              <w:rPr>
                <w:rFonts w:hint="eastAsia" w:ascii="仿宋" w:hAnsi="仿宋" w:cs="仿宋"/>
                <w:snapToGrid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spacing w:line="579" w:lineRule="exact"/>
              <w:jc w:val="center"/>
              <w:outlineLvl w:val="9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939" w:type="dxa"/>
            <w:noWrap w:val="0"/>
            <w:vAlign w:val="center"/>
          </w:tcPr>
          <w:p>
            <w:pPr>
              <w:spacing w:line="579" w:lineRule="exact"/>
              <w:jc w:val="center"/>
              <w:outlineLvl w:val="9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药品经营许可证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零售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补发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spacing w:line="579" w:lineRule="exact"/>
              <w:jc w:val="center"/>
              <w:outlineLvl w:val="9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939" w:type="dxa"/>
            <w:noWrap w:val="0"/>
            <w:vAlign w:val="center"/>
          </w:tcPr>
          <w:p>
            <w:pPr>
              <w:spacing w:line="579" w:lineRule="exact"/>
              <w:jc w:val="center"/>
              <w:outlineLvl w:val="9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药品经营许可证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零售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注销</w:t>
            </w:r>
          </w:p>
        </w:tc>
      </w:tr>
    </w:tbl>
    <w:p>
      <w:pPr>
        <w:spacing w:line="579" w:lineRule="exact"/>
        <w:rPr>
          <w:rFonts w:hint="eastAsia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984" w:left="1588" w:header="851" w:footer="1400" w:gutter="0"/>
      <w:pgNumType w:fmt="numberInDash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2582545</wp:posOffset>
              </wp:positionH>
              <wp:positionV relativeFrom="paragraph">
                <wp:posOffset>142875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35pt;margin-top:11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cgsQ29gAAAAKAQAADwAAAAAAAAABACAAAAAiAAAAZHJzL2Rvd25yZXYueG1s&#10;UEsBAhQAFAAAAAgAh07iQCSCRrQ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19"/>
  <w:hyphenationZone w:val="36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NDA4YmM5YmZjMjQyMzNlMmVlZjA0MzA4NzA4ZGYifQ=="/>
  </w:docVars>
  <w:rsids>
    <w:rsidRoot w:val="00000000"/>
    <w:rsid w:val="01A6094A"/>
    <w:rsid w:val="03BD7596"/>
    <w:rsid w:val="0C352E77"/>
    <w:rsid w:val="12A3664F"/>
    <w:rsid w:val="17D7557E"/>
    <w:rsid w:val="187269E9"/>
    <w:rsid w:val="1A5C1695"/>
    <w:rsid w:val="3A2B0CF2"/>
    <w:rsid w:val="3A6B1EF0"/>
    <w:rsid w:val="3FD177B6"/>
    <w:rsid w:val="43CD74EE"/>
    <w:rsid w:val="5C6D014D"/>
    <w:rsid w:val="5DD5679D"/>
    <w:rsid w:val="759B0E00"/>
    <w:rsid w:val="79786309"/>
    <w:rsid w:val="7DD935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2178</Words>
  <Characters>2202</Characters>
  <Lines>0</Lines>
  <Paragraphs>0</Paragraphs>
  <TotalTime>25</TotalTime>
  <ScaleCrop>false</ScaleCrop>
  <LinksUpToDate>false</LinksUpToDate>
  <CharactersWithSpaces>2202</CharactersWithSpaces>
  <Application>WPS Office_11.1.0.14555_F1E327BC-269C-435d-A152-05C5408002CA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2023-03-03T01:25:00Z</dcterms:created>
  <dc:creator>lenovo</dc:creator>
  <cp:lastModifiedBy>逍遥散人</cp:lastModifiedBy>
  <cp:lastPrinted>2023-03-27T01:26:00Z</cp:lastPrinted>
  <dcterms:modified xsi:type="dcterms:W3CDTF">2023-06-19T08:16:16Z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2052-11.1.0.14555</vt:lpwstr>
  </property>
  <property fmtid="{D5CDD505-2E9C-101B-9397-08002B2CF9AE}" pid="3" name="ICV">
    <vt:lpwstr>4FBEDE0CD2FF4DE3A974FF81C2A5E102</vt:lpwstr>
  </property>
</Properties>
</file>