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2</w:t>
      </w:r>
      <w:r>
        <w:rPr>
          <w:rFonts w:hint="eastAsia" w:ascii="黑体" w:hAnsi="黑体" w:eastAsia="黑体" w:cs="黑体"/>
          <w:sz w:val="52"/>
          <w:szCs w:val="52"/>
        </w:rPr>
        <w:t>年度</w:t>
      </w:r>
    </w:p>
    <w:p>
      <w:pPr>
        <w:jc w:val="center"/>
      </w:pPr>
      <w:r>
        <w:rPr>
          <w:rFonts w:hint="eastAsia" w:ascii="黑体" w:hAnsi="黑体" w:eastAsia="黑体" w:cs="黑体"/>
          <w:sz w:val="52"/>
          <w:szCs w:val="52"/>
        </w:rPr>
        <w:t>罗山县信访局部门决算</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ascii="黑体" w:hAnsi="黑体" w:eastAsia="黑体" w:cs="黑体"/>
          <w:sz w:val="32"/>
          <w:szCs w:val="32"/>
        </w:rPr>
        <w:t>二〇二</w:t>
      </w:r>
      <w:r>
        <w:rPr>
          <w:rFonts w:hint="eastAsia" w:ascii="黑体" w:hAnsi="黑体" w:eastAsia="黑体" w:cs="黑体"/>
          <w:sz w:val="32"/>
          <w:szCs w:val="32"/>
          <w:lang w:eastAsia="zh-CN"/>
        </w:rPr>
        <w:t>三</w:t>
      </w:r>
      <w:r>
        <w:rPr>
          <w:rFonts w:hint="eastAsia" w:ascii="黑体" w:hAnsi="黑体" w:eastAsia="黑体" w:cs="黑体"/>
          <w:sz w:val="32"/>
          <w:szCs w:val="32"/>
        </w:rPr>
        <w:t>年</w:t>
      </w:r>
      <w:r>
        <w:rPr>
          <w:rFonts w:hint="eastAsia" w:ascii="黑体" w:hAnsi="黑体" w:eastAsia="黑体" w:cs="黑体"/>
          <w:sz w:val="32"/>
          <w:szCs w:val="32"/>
          <w:lang w:val="en-US" w:eastAsia="zh-CN"/>
        </w:rPr>
        <w:t>九</w:t>
      </w:r>
      <w:r>
        <w:rPr>
          <w:rFonts w:hint="eastAsia" w:ascii="黑体" w:hAnsi="黑体" w:eastAsia="黑体" w:cs="黑体"/>
          <w:sz w:val="32"/>
          <w:szCs w:val="32"/>
        </w:rPr>
        <w:t>月</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 xml:space="preserve"> 录</w:t>
      </w:r>
    </w:p>
    <w:p>
      <w:pPr>
        <w:jc w:val="center"/>
        <w:rPr>
          <w:rFonts w:hint="eastAsia" w:ascii="黑体" w:hAnsi="黑体" w:eastAsia="黑体" w:cs="黑体"/>
          <w:sz w:val="36"/>
          <w:szCs w:val="36"/>
        </w:rPr>
      </w:pPr>
    </w:p>
    <w:p>
      <w:pPr>
        <w:ind w:firstLine="640" w:firstLineChars="200"/>
        <w:jc w:val="left"/>
        <w:rPr>
          <w:rFonts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罗山县信访局概况</w:t>
      </w:r>
    </w:p>
    <w:p>
      <w:pPr>
        <w:ind w:firstLine="640" w:firstLineChars="200"/>
        <w:rPr>
          <w:rFonts w:hint="eastAsia"/>
          <w:sz w:val="32"/>
          <w:szCs w:val="32"/>
        </w:rPr>
      </w:pPr>
      <w:r>
        <w:rPr>
          <w:rFonts w:hint="eastAsia"/>
          <w:sz w:val="32"/>
          <w:szCs w:val="32"/>
        </w:rPr>
        <w:t>一、部门职责</w:t>
      </w:r>
    </w:p>
    <w:p>
      <w:pPr>
        <w:ind w:firstLine="640" w:firstLineChars="200"/>
        <w:rPr>
          <w:rFonts w:hint="eastAsia"/>
          <w:sz w:val="32"/>
          <w:szCs w:val="32"/>
        </w:rPr>
      </w:pPr>
      <w:r>
        <w:rPr>
          <w:rFonts w:hint="eastAsia"/>
          <w:sz w:val="32"/>
          <w:szCs w:val="32"/>
        </w:rPr>
        <w:t>二、机构设置</w:t>
      </w:r>
    </w:p>
    <w:p>
      <w:pPr>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年度部门决算表</w:t>
      </w:r>
      <w:bookmarkStart w:id="0" w:name="_GoBack"/>
      <w:bookmarkEnd w:id="0"/>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w:t>
      </w:r>
      <w:r>
        <w:rPr>
          <w:rFonts w:hint="eastAsia"/>
          <w:sz w:val="32"/>
          <w:szCs w:val="32"/>
          <w:lang w:eastAsia="zh-CN"/>
        </w:rPr>
        <w:t>明细</w:t>
      </w:r>
      <w:r>
        <w:rPr>
          <w:rFonts w:hint="eastAsia"/>
          <w:sz w:val="32"/>
          <w:szCs w:val="32"/>
        </w:rPr>
        <w:t>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ind w:firstLine="640" w:firstLineChars="200"/>
        <w:rPr>
          <w:rFonts w:ascii="黑体" w:hAnsi="黑体" w:eastAsia="黑体" w:cs="黑体"/>
          <w:color w:val="auto"/>
          <w:sz w:val="32"/>
          <w:szCs w:val="32"/>
        </w:rPr>
      </w:pPr>
      <w:r>
        <w:rPr>
          <w:rFonts w:hint="eastAsia" w:ascii="黑体" w:hAnsi="黑体" w:eastAsia="黑体" w:cs="黑体"/>
          <w:sz w:val="32"/>
          <w:szCs w:val="32"/>
        </w:rPr>
        <w:t>第三部分　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w:t>
      </w:r>
      <w:r>
        <w:rPr>
          <w:rFonts w:hint="eastAsia" w:ascii="黑体" w:hAnsi="黑体" w:eastAsia="黑体" w:cs="黑体"/>
          <w:color w:val="auto"/>
          <w:sz w:val="32"/>
          <w:szCs w:val="32"/>
        </w:rPr>
        <w:t>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jc w:val="left"/>
        <w:rPr>
          <w:rFonts w:hint="default" w:ascii="宋体" w:hAnsi="宋体" w:cs="宋体"/>
          <w:sz w:val="32"/>
          <w:szCs w:val="32"/>
          <w:lang w:val="en-US"/>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ind w:firstLine="640" w:firstLineChars="200"/>
        <w:rPr>
          <w:rFonts w:ascii="黑体" w:hAnsi="黑体" w:eastAsia="黑体" w:cs="黑体"/>
          <w:sz w:val="32"/>
          <w:szCs w:val="32"/>
        </w:rPr>
      </w:pPr>
      <w:r>
        <w:rPr>
          <w:rFonts w:hint="eastAsia" w:ascii="黑体" w:hAnsi="黑体" w:eastAsia="黑体" w:cs="黑体"/>
          <w:sz w:val="32"/>
          <w:szCs w:val="32"/>
        </w:rPr>
        <w:t>第四部分　名词解释</w:t>
      </w:r>
    </w:p>
    <w:p>
      <w:pPr>
        <w:ind w:firstLine="880" w:firstLineChars="200"/>
        <w:rPr>
          <w:rFonts w:ascii="黑体" w:hAnsi="黑体" w:eastAsia="黑体" w:cs="黑体"/>
          <w:sz w:val="44"/>
          <w:szCs w:val="44"/>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left="420" w:leftChars="200"/>
        <w:jc w:val="left"/>
        <w:rPr>
          <w:rFonts w:ascii="仿宋_GB2312" w:hAnsi="仿宋_GB2312" w:eastAsia="仿宋_GB2312" w:cs="仿宋_GB2312"/>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numPr>
          <w:ilvl w:val="0"/>
          <w:numId w:val="1"/>
        </w:numPr>
        <w:jc w:val="center"/>
        <w:rPr>
          <w:rFonts w:hint="eastAsia" w:ascii="黑体" w:hAnsi="黑体" w:eastAsia="黑体" w:cs="黑体"/>
          <w:sz w:val="44"/>
          <w:szCs w:val="44"/>
        </w:rPr>
      </w:pPr>
      <w:r>
        <w:rPr>
          <w:rFonts w:hint="eastAsia" w:ascii="黑体" w:hAnsi="黑体" w:eastAsia="黑体" w:cs="黑体"/>
          <w:sz w:val="44"/>
          <w:szCs w:val="44"/>
        </w:rPr>
        <w:t>信访局概况</w:t>
      </w:r>
    </w:p>
    <w:p>
      <w:pPr>
        <w:numPr>
          <w:ilvl w:val="0"/>
          <w:numId w:val="0"/>
        </w:numPr>
        <w:jc w:val="both"/>
        <w:rPr>
          <w:rFonts w:hint="eastAsia" w:ascii="黑体" w:hAnsi="黑体" w:eastAsia="黑体" w:cs="黑体"/>
          <w:sz w:val="48"/>
          <w:szCs w:val="48"/>
        </w:rPr>
      </w:pPr>
    </w:p>
    <w:p>
      <w:pPr>
        <w:numPr>
          <w:ilvl w:val="0"/>
          <w:numId w:val="0"/>
        </w:numPr>
        <w:ind w:firstLine="643" w:firstLineChars="200"/>
        <w:jc w:val="both"/>
        <w:rPr>
          <w:rFonts w:ascii="宋体" w:hAnsi="宋体" w:cs="宋体"/>
          <w:sz w:val="32"/>
          <w:szCs w:val="32"/>
        </w:rPr>
      </w:pPr>
      <w:r>
        <w:rPr>
          <w:rFonts w:hint="eastAsia" w:ascii="宋体" w:hAnsi="宋体" w:cs="宋体"/>
          <w:b/>
          <w:bCs/>
          <w:sz w:val="32"/>
          <w:szCs w:val="32"/>
          <w:lang w:eastAsia="zh-CN"/>
        </w:rPr>
        <w:t>一、</w:t>
      </w:r>
      <w:r>
        <w:rPr>
          <w:rFonts w:hint="eastAsia" w:ascii="宋体" w:hAnsi="宋体" w:cs="宋体"/>
          <w:b/>
          <w:bCs/>
          <w:sz w:val="32"/>
          <w:szCs w:val="32"/>
        </w:rPr>
        <w:t>部门职责</w:t>
      </w:r>
      <w:r>
        <w:rPr>
          <w:rFonts w:hint="eastAsia" w:ascii="宋体" w:hAnsi="宋体" w:cs="宋体"/>
          <w:sz w:val="32"/>
          <w:szCs w:val="32"/>
        </w:rPr>
        <w:t>：</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（一）协调指导全县信访工作，起草有关信访工作的方案和要点，推动中央，省委省政府，市委市政府及县委县政府关于信访工作决策部署的贯彻落实。</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（二）受理人民群众给县委、县政府及领导同志的来信来电来访、网上信访和民生手机短信信访，为来信来电来访群众提供有关法律、法规和政策咨询服务。</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（三）负责向县委、县政府反映来信来电来访中提出的重要建议、意见和问题，综合研判信访信息，分析信访形势，开展调查研究，提出制定修改完善有关规定的建议。</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（四）承办上级党和国家机关向县委、县政府交办的信访事项和县委、县政府及领导同志交办的重要信访事项，向乡镇（街道办事处）和有关部门转办、交办信访事项，督促检查重要信访事项的处理和落实。</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（五）协调处理跨地区跨行业跨部门的信访突出问题和突发信访事件；对重要信访事项实施个案监督，并提出对有关责任单位和责任人的处理意见和建议。</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（六）总结推广信访工作经验，提出改进和加强信访工作的意见和建议；负责信访工作的宣传和信息发布；组织协调、指导、推动全县信访系统信息化建设。</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（七）协调组织县级领导干部接待群众来访工作；负责中央、省、市、县党代会、人代会期间等重要时期的信访稳定工作；负责组织协调驻京、驻省信访劝返工作。</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（八）承担罗山县人民政府信访事项复查委员会的具体工作，负责县政府受理的信访事项复查工作。</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（九）承担县信访工作联席会议的日常工作，督促落实联席会议决定的事项。</w:t>
      </w:r>
    </w:p>
    <w:p>
      <w:pPr>
        <w:numPr>
          <w:ilvl w:val="0"/>
          <w:numId w:val="0"/>
        </w:num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（十）完成县委、县政府交办的其他工作任务。</w:t>
      </w:r>
    </w:p>
    <w:p>
      <w:pPr>
        <w:numPr>
          <w:ilvl w:val="0"/>
          <w:numId w:val="0"/>
        </w:numPr>
        <w:ind w:firstLine="643" w:firstLineChars="200"/>
        <w:jc w:val="left"/>
        <w:rPr>
          <w:rFonts w:hint="eastAsia" w:ascii="仿宋" w:hAnsi="仿宋" w:eastAsia="仿宋" w:cs="仿宋"/>
          <w:sz w:val="32"/>
          <w:szCs w:val="32"/>
          <w:lang w:eastAsia="zh-CN"/>
        </w:rPr>
      </w:pPr>
      <w:r>
        <w:rPr>
          <w:rFonts w:hint="eastAsia" w:ascii="仿宋" w:hAnsi="仿宋" w:eastAsia="仿宋" w:cs="仿宋"/>
          <w:b/>
          <w:bCs/>
          <w:sz w:val="32"/>
          <w:szCs w:val="32"/>
          <w:lang w:eastAsia="zh-CN"/>
        </w:rPr>
        <w:t>二、机构设置：</w:t>
      </w:r>
      <w:r>
        <w:rPr>
          <w:rFonts w:hint="eastAsia" w:ascii="仿宋" w:hAnsi="仿宋" w:eastAsia="仿宋" w:cs="仿宋"/>
          <w:sz w:val="32"/>
          <w:szCs w:val="32"/>
          <w:lang w:eastAsia="zh-CN"/>
        </w:rPr>
        <w:t>信访局内设机构3个，包括：办公室（综合调研股）、办信与人民建议征集股（网络信访股）、督办查办股（复查股）。</w:t>
      </w:r>
    </w:p>
    <w:p>
      <w:pPr>
        <w:numPr>
          <w:ilvl w:val="0"/>
          <w:numId w:val="0"/>
        </w:numPr>
        <w:ind w:firstLine="640" w:firstLineChars="200"/>
        <w:jc w:val="left"/>
        <w:rPr>
          <w:rFonts w:ascii="仿宋_GB2312" w:hAnsi="仿宋_GB2312" w:eastAsia="仿宋_GB2312" w:cs="仿宋_GB2312"/>
          <w:sz w:val="32"/>
          <w:szCs w:val="32"/>
        </w:rPr>
      </w:pPr>
      <w:r>
        <w:rPr>
          <w:rFonts w:hint="eastAsia" w:ascii="仿宋" w:hAnsi="仿宋" w:eastAsia="仿宋" w:cs="仿宋"/>
          <w:sz w:val="32"/>
          <w:szCs w:val="32"/>
          <w:lang w:eastAsia="zh-CN"/>
        </w:rPr>
        <w:t>从决算单位构成看，信访局无二级决算单位，本决算为局本级决算。</w:t>
      </w:r>
    </w:p>
    <w:p>
      <w:pPr>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纳入本部门202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个，其中二级预算单位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。具体是：</w:t>
      </w:r>
    </w:p>
    <w:p>
      <w:pPr>
        <w:ind w:firstLine="960" w:firstLineChars="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1、局本级</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p>
    <w:p>
      <w:pPr>
        <w:jc w:val="center"/>
        <w:outlineLvl w:val="0"/>
        <w:rPr>
          <w:rFonts w:hint="eastAsia" w:ascii="黑体" w:hAnsi="黑体" w:eastAsia="黑体" w:cs="黑体"/>
          <w:sz w:val="44"/>
          <w:szCs w:val="44"/>
        </w:rPr>
      </w:pPr>
      <w:r>
        <w:rPr>
          <w:rFonts w:hint="eastAsia" w:ascii="黑体" w:hAnsi="黑体" w:eastAsia="黑体" w:cs="黑体"/>
          <w:sz w:val="48"/>
          <w:szCs w:val="48"/>
        </w:rPr>
        <w:t xml:space="preserve">第二部分  </w:t>
      </w: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4215"/>
        <w:gridCol w:w="812"/>
        <w:gridCol w:w="1737"/>
        <w:gridCol w:w="4601"/>
        <w:gridCol w:w="738"/>
        <w:gridCol w:w="1677"/>
      </w:tblGrid>
      <w:tr>
        <w:tblPrEx>
          <w:tblCellMar>
            <w:top w:w="0" w:type="dxa"/>
            <w:left w:w="0" w:type="dxa"/>
            <w:bottom w:w="0" w:type="dxa"/>
            <w:right w:w="0" w:type="dxa"/>
          </w:tblCellMar>
        </w:tblPrEx>
        <w:trPr>
          <w:trHeight w:val="211" w:hRule="atLeast"/>
        </w:trPr>
        <w:tc>
          <w:tcPr>
            <w:tcW w:w="1378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08" w:hRule="atLeast"/>
        </w:trPr>
        <w:tc>
          <w:tcPr>
            <w:tcW w:w="421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1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3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3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7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108" w:hRule="atLeast"/>
        </w:trPr>
        <w:tc>
          <w:tcPr>
            <w:tcW w:w="4215"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罗山县信访局</w:t>
            </w:r>
          </w:p>
        </w:tc>
        <w:tc>
          <w:tcPr>
            <w:tcW w:w="81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3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3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7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156" w:hRule="atLeast"/>
        </w:trPr>
        <w:tc>
          <w:tcPr>
            <w:tcW w:w="676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016"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77"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73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677"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b w:val="0"/>
                <w:bCs w:val="0"/>
                <w:color w:val="000000"/>
                <w:sz w:val="20"/>
                <w:szCs w:val="20"/>
                <w:lang w:val="en-US" w:eastAsia="zh-CN"/>
              </w:rPr>
              <w:t>275.6</w:t>
            </w: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245.3</w:t>
            </w: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w:t>
            </w:r>
            <w:r>
              <w:rPr>
                <w:rFonts w:ascii="宋体" w:hAnsi="宋体" w:cs="宋体"/>
                <w:color w:val="000000"/>
                <w:kern w:val="0"/>
                <w:sz w:val="20"/>
                <w:szCs w:val="20"/>
                <w:lang w:bidi="ar"/>
              </w:rPr>
              <w:t>预算财政拨款</w:t>
            </w:r>
            <w:r>
              <w:rPr>
                <w:rFonts w:hint="eastAsia" w:ascii="宋体" w:hAnsi="宋体" w:cs="宋体"/>
                <w:color w:val="000000"/>
                <w:kern w:val="0"/>
                <w:sz w:val="20"/>
                <w:szCs w:val="20"/>
                <w:lang w:bidi="ar"/>
              </w:rPr>
              <w:t>收入</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w:t>
            </w:r>
            <w:r>
              <w:rPr>
                <w:rFonts w:ascii="宋体" w:hAnsi="宋体" w:cs="宋体"/>
                <w:color w:val="000000"/>
                <w:kern w:val="0"/>
                <w:sz w:val="20"/>
                <w:szCs w:val="20"/>
                <w:lang w:bidi="ar"/>
              </w:rPr>
              <w:t>经营预算财政拨款</w:t>
            </w:r>
            <w:r>
              <w:rPr>
                <w:rFonts w:hint="eastAsia" w:ascii="宋体" w:hAnsi="宋体" w:cs="宋体"/>
                <w:color w:val="000000"/>
                <w:kern w:val="0"/>
                <w:sz w:val="20"/>
                <w:szCs w:val="20"/>
                <w:lang w:bidi="ar"/>
              </w:rPr>
              <w:t>收入</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四、上级补助收入</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四、公共安全支出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17</w:t>
            </w: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18</w:t>
            </w: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六、经营收入</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6</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w:t>
            </w:r>
            <w:r>
              <w:rPr>
                <w:rFonts w:hint="eastAsia" w:ascii="宋体" w:hAnsi="宋体" w:cs="宋体"/>
                <w:color w:val="000000"/>
                <w:kern w:val="0"/>
                <w:sz w:val="20"/>
                <w:szCs w:val="20"/>
                <w:lang w:eastAsia="zh-CN" w:bidi="ar"/>
              </w:rPr>
              <w:t>住房保障</w:t>
            </w:r>
            <w:r>
              <w:rPr>
                <w:rFonts w:hint="eastAsia" w:ascii="宋体" w:hAnsi="宋体" w:cs="宋体"/>
                <w:color w:val="000000"/>
                <w:kern w:val="0"/>
                <w:sz w:val="20"/>
                <w:szCs w:val="20"/>
                <w:lang w:bidi="ar"/>
              </w:rPr>
              <w:t>支出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19</w:t>
            </w: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9.9</w:t>
            </w: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0"/>
                <w:szCs w:val="20"/>
                <w:lang w:val="en-US" w:eastAsia="zh-CN" w:bidi="ar-SA"/>
              </w:rPr>
            </w:pPr>
            <w:r>
              <w:rPr>
                <w:rFonts w:hint="eastAsia" w:ascii="宋体" w:hAnsi="宋体" w:cs="宋体"/>
                <w:color w:val="000000"/>
                <w:kern w:val="0"/>
                <w:sz w:val="20"/>
                <w:szCs w:val="20"/>
                <w:lang w:bidi="ar"/>
              </w:rPr>
              <w:t>7</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七、社会保障与就业支出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14.6</w:t>
            </w: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abs>
                <w:tab w:val="left" w:pos="809"/>
              </w:tabs>
              <w:jc w:val="both"/>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八、医疗卫生与计划生育支出</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w:t>
            </w: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167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p>
        </w:tc>
        <w:tc>
          <w:tcPr>
            <w:tcW w:w="167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b w:val="0"/>
                <w:bCs w:val="0"/>
                <w:color w:val="000000"/>
                <w:sz w:val="20"/>
                <w:szCs w:val="20"/>
                <w:lang w:val="en-US" w:eastAsia="zh-CN"/>
              </w:rPr>
              <w:t>275.6</w:t>
            </w:r>
          </w:p>
        </w:tc>
        <w:tc>
          <w:tcPr>
            <w:tcW w:w="46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67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val="0"/>
                <w:bCs/>
                <w:color w:val="000000"/>
                <w:sz w:val="20"/>
                <w:szCs w:val="20"/>
                <w:lang w:val="en-US" w:eastAsia="zh-CN"/>
              </w:rPr>
              <w:t>275.6</w:t>
            </w: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使用非</w:t>
            </w:r>
            <w:r>
              <w:rPr>
                <w:rFonts w:ascii="宋体" w:hAnsi="宋体" w:cs="宋体"/>
                <w:color w:val="000000"/>
                <w:kern w:val="0"/>
                <w:sz w:val="20"/>
                <w:szCs w:val="20"/>
                <w:lang w:bidi="ar"/>
              </w:rPr>
              <w:t>财政拨款结余</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67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677"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73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0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677"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53" w:hRule="atLeast"/>
        </w:trPr>
        <w:tc>
          <w:tcPr>
            <w:tcW w:w="4215"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737"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b w:val="0"/>
                <w:bCs w:val="0"/>
                <w:color w:val="000000"/>
                <w:sz w:val="20"/>
                <w:szCs w:val="20"/>
                <w:lang w:val="en-US" w:eastAsia="zh-CN"/>
              </w:rPr>
              <w:t>275.6</w:t>
            </w:r>
          </w:p>
        </w:tc>
        <w:tc>
          <w:tcPr>
            <w:tcW w:w="460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677"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hint="default" w:ascii="宋体" w:hAnsi="宋体" w:cs="宋体"/>
                <w:b/>
                <w:color w:val="000000"/>
                <w:sz w:val="20"/>
                <w:szCs w:val="20"/>
                <w:lang w:val="en-US"/>
              </w:rPr>
            </w:pPr>
            <w:r>
              <w:rPr>
                <w:rFonts w:hint="eastAsia" w:ascii="宋体" w:hAnsi="宋体" w:cs="宋体"/>
                <w:b w:val="0"/>
                <w:bCs w:val="0"/>
                <w:color w:val="000000"/>
                <w:sz w:val="20"/>
                <w:szCs w:val="20"/>
                <w:lang w:val="en-US" w:eastAsia="zh-CN"/>
              </w:rPr>
              <w:t>275.6</w:t>
            </w:r>
          </w:p>
        </w:tc>
      </w:tr>
      <w:tr>
        <w:tblPrEx>
          <w:tblCellMar>
            <w:top w:w="0" w:type="dxa"/>
            <w:left w:w="0" w:type="dxa"/>
            <w:bottom w:w="0" w:type="dxa"/>
            <w:right w:w="0" w:type="dxa"/>
          </w:tblCellMar>
        </w:tblPrEx>
        <w:trPr>
          <w:trHeight w:val="204" w:hRule="atLeast"/>
        </w:trPr>
        <w:tc>
          <w:tcPr>
            <w:tcW w:w="13780"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14012" w:type="dxa"/>
        <w:tblInd w:w="0" w:type="dxa"/>
        <w:tblLayout w:type="fixed"/>
        <w:tblCellMar>
          <w:top w:w="0" w:type="dxa"/>
          <w:left w:w="0" w:type="dxa"/>
          <w:bottom w:w="0" w:type="dxa"/>
          <w:right w:w="0" w:type="dxa"/>
        </w:tblCellMar>
      </w:tblPr>
      <w:tblGrid>
        <w:gridCol w:w="972"/>
        <w:gridCol w:w="37"/>
        <w:gridCol w:w="240"/>
        <w:gridCol w:w="90"/>
        <w:gridCol w:w="1887"/>
        <w:gridCol w:w="431"/>
        <w:gridCol w:w="285"/>
        <w:gridCol w:w="686"/>
        <w:gridCol w:w="284"/>
        <w:gridCol w:w="129"/>
        <w:gridCol w:w="1109"/>
        <w:gridCol w:w="72"/>
        <w:gridCol w:w="92"/>
        <w:gridCol w:w="6"/>
        <w:gridCol w:w="1353"/>
        <w:gridCol w:w="256"/>
        <w:gridCol w:w="78"/>
        <w:gridCol w:w="195"/>
        <w:gridCol w:w="994"/>
        <w:gridCol w:w="342"/>
        <w:gridCol w:w="255"/>
        <w:gridCol w:w="296"/>
        <w:gridCol w:w="631"/>
        <w:gridCol w:w="427"/>
        <w:gridCol w:w="431"/>
        <w:gridCol w:w="119"/>
        <w:gridCol w:w="546"/>
        <w:gridCol w:w="129"/>
        <w:gridCol w:w="1201"/>
        <w:gridCol w:w="54"/>
        <w:gridCol w:w="35"/>
        <w:gridCol w:w="295"/>
        <w:gridCol w:w="55"/>
      </w:tblGrid>
      <w:tr>
        <w:tblPrEx>
          <w:tblCellMar>
            <w:top w:w="0" w:type="dxa"/>
            <w:left w:w="0" w:type="dxa"/>
            <w:bottom w:w="0" w:type="dxa"/>
            <w:right w:w="0" w:type="dxa"/>
          </w:tblCellMar>
        </w:tblPrEx>
        <w:trPr>
          <w:gridAfter w:val="3"/>
          <w:wAfter w:w="385" w:type="dxa"/>
          <w:trHeight w:val="336" w:hRule="atLeast"/>
        </w:trPr>
        <w:tc>
          <w:tcPr>
            <w:tcW w:w="13627" w:type="dxa"/>
            <w:gridSpan w:val="30"/>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gridAfter w:val="1"/>
          <w:wAfter w:w="55" w:type="dxa"/>
          <w:trHeight w:val="176" w:hRule="atLeast"/>
        </w:trPr>
        <w:tc>
          <w:tcPr>
            <w:tcW w:w="1009"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69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68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2"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4"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14" w:type="dxa"/>
            <w:gridSpan w:val="5"/>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gridAfter w:val="1"/>
          <w:wAfter w:w="55" w:type="dxa"/>
          <w:trHeight w:val="176" w:hRule="atLeast"/>
        </w:trPr>
        <w:tc>
          <w:tcPr>
            <w:tcW w:w="100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693"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eastAsia="zh-CN" w:bidi="ar"/>
              </w:rPr>
              <w:t>罗山县信访局</w:t>
            </w:r>
          </w:p>
        </w:tc>
        <w:tc>
          <w:tcPr>
            <w:tcW w:w="68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2"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3" w:type="dxa"/>
            <w:gridSpan w:val="4"/>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2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4"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2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14" w:type="dxa"/>
            <w:gridSpan w:val="5"/>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4"/>
          <w:wAfter w:w="439" w:type="dxa"/>
          <w:trHeight w:val="196" w:hRule="atLeast"/>
        </w:trPr>
        <w:tc>
          <w:tcPr>
            <w:tcW w:w="3942" w:type="dxa"/>
            <w:gridSpan w:val="7"/>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099"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279" w:type="dxa"/>
            <w:gridSpan w:val="4"/>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60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609"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609"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22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201"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gridAfter w:val="4"/>
          <w:wAfter w:w="439" w:type="dxa"/>
          <w:trHeight w:val="312" w:hRule="atLeast"/>
        </w:trPr>
        <w:tc>
          <w:tcPr>
            <w:tcW w:w="1249"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693"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09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9"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0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09"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09"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0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312" w:hRule="atLeast"/>
        </w:trPr>
        <w:tc>
          <w:tcPr>
            <w:tcW w:w="1249"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693"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09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9"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0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09"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09"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01"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3942" w:type="dxa"/>
            <w:gridSpan w:val="7"/>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09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79"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09"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09"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01"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gridAfter w:val="4"/>
          <w:wAfter w:w="439" w:type="dxa"/>
          <w:trHeight w:val="185" w:hRule="atLeast"/>
        </w:trPr>
        <w:tc>
          <w:tcPr>
            <w:tcW w:w="3942" w:type="dxa"/>
            <w:gridSpan w:val="7"/>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val="0"/>
                <w:bCs w:val="0"/>
                <w:color w:val="000000"/>
                <w:sz w:val="20"/>
                <w:szCs w:val="20"/>
                <w:lang w:val="en-US" w:eastAsia="zh-CN"/>
              </w:rPr>
            </w:pPr>
            <w:r>
              <w:rPr>
                <w:rFonts w:hint="eastAsia" w:ascii="宋体" w:hAnsi="宋体" w:cs="宋体"/>
                <w:b w:val="0"/>
                <w:bCs w:val="0"/>
                <w:color w:val="000000"/>
                <w:sz w:val="20"/>
                <w:szCs w:val="20"/>
                <w:lang w:val="en-US" w:eastAsia="zh-CN"/>
              </w:rPr>
              <w:t>275.6</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val="0"/>
                <w:bCs w:val="0"/>
                <w:color w:val="000000"/>
                <w:sz w:val="20"/>
                <w:szCs w:val="20"/>
              </w:rPr>
            </w:pPr>
            <w:r>
              <w:rPr>
                <w:rFonts w:hint="eastAsia" w:ascii="宋体" w:hAnsi="宋体" w:cs="宋体"/>
                <w:b w:val="0"/>
                <w:bCs w:val="0"/>
                <w:color w:val="000000"/>
                <w:sz w:val="20"/>
                <w:szCs w:val="20"/>
                <w:lang w:val="en-US" w:eastAsia="zh-CN"/>
              </w:rPr>
              <w:t>275.6</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201</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b/>
                <w:bCs/>
                <w:color w:val="000000"/>
                <w:sz w:val="20"/>
                <w:szCs w:val="20"/>
              </w:rPr>
            </w:pPr>
            <w:r>
              <w:rPr>
                <w:rFonts w:hint="eastAsia" w:ascii="宋体" w:hAnsi="宋体" w:cs="宋体"/>
                <w:b/>
                <w:bCs/>
                <w:color w:val="000000"/>
                <w:sz w:val="20"/>
                <w:szCs w:val="20"/>
              </w:rPr>
              <w:t>一般公共服务支出</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245.3</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245.3</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20103</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16"/>
                <w:szCs w:val="16"/>
                <w:lang w:eastAsia="zh-CN"/>
              </w:rPr>
              <w:t>政府办公厅（室）及其相关机构事务</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245.3</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245.3</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2010301</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行政运行</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华文中宋" w:hAnsi="华文中宋" w:eastAsia="华文中宋" w:cs="华文中宋"/>
                <w:color w:val="000000"/>
                <w:sz w:val="20"/>
                <w:szCs w:val="20"/>
                <w:lang w:val="en-US" w:eastAsia="zh-CN"/>
              </w:rPr>
            </w:pPr>
            <w:r>
              <w:rPr>
                <w:rFonts w:hint="eastAsia" w:ascii="宋体" w:hAnsi="宋体" w:cs="宋体"/>
                <w:color w:val="000000"/>
                <w:sz w:val="20"/>
                <w:szCs w:val="20"/>
                <w:lang w:val="en-US" w:eastAsia="zh-CN"/>
              </w:rPr>
              <w:t>245.3</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245.3</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208</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b/>
                <w:bCs/>
                <w:color w:val="000000"/>
                <w:sz w:val="20"/>
                <w:szCs w:val="20"/>
              </w:rPr>
            </w:pPr>
            <w:r>
              <w:rPr>
                <w:rFonts w:hint="eastAsia" w:ascii="宋体" w:hAnsi="宋体" w:cs="宋体"/>
                <w:b/>
                <w:bCs/>
                <w:color w:val="000000"/>
                <w:sz w:val="20"/>
                <w:szCs w:val="20"/>
              </w:rPr>
              <w:t>社会保障和就业支出</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14.6</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14.6</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346"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20805</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sz w:val="20"/>
                <w:szCs w:val="20"/>
                <w:lang w:eastAsia="zh-CN"/>
              </w:rPr>
            </w:pPr>
            <w:r>
              <w:rPr>
                <w:rFonts w:hint="eastAsia" w:ascii="宋体" w:hAnsi="宋体" w:cs="宋体"/>
                <w:b/>
                <w:bCs/>
                <w:color w:val="000000"/>
                <w:sz w:val="20"/>
                <w:szCs w:val="20"/>
                <w:lang w:eastAsia="zh-CN"/>
              </w:rPr>
              <w:t>行政事业单位离退休</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13.7</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13.7</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346"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2080505</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16"/>
                <w:szCs w:val="16"/>
              </w:rPr>
              <w:t>机关事业单位基本养老保险缴费支出</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13.7</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13.7</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20808</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sz w:val="20"/>
                <w:szCs w:val="20"/>
                <w:lang w:eastAsia="zh-CN"/>
              </w:rPr>
            </w:pPr>
            <w:r>
              <w:rPr>
                <w:rFonts w:hint="eastAsia" w:ascii="宋体" w:hAnsi="宋体" w:cs="宋体"/>
                <w:b/>
                <w:bCs/>
                <w:color w:val="000000"/>
                <w:sz w:val="20"/>
                <w:szCs w:val="20"/>
                <w:lang w:eastAsia="zh-CN"/>
              </w:rPr>
              <w:t>抚恤</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0.9</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0.9</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2080801</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死亡抚恤</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0.9</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0.9</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316"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210</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b/>
                <w:bCs/>
                <w:color w:val="000000"/>
                <w:sz w:val="20"/>
                <w:szCs w:val="20"/>
              </w:rPr>
            </w:pPr>
            <w:r>
              <w:rPr>
                <w:rFonts w:hint="eastAsia" w:ascii="宋体" w:hAnsi="宋体" w:cs="宋体"/>
                <w:b/>
                <w:bCs/>
                <w:color w:val="000000"/>
                <w:sz w:val="20"/>
                <w:szCs w:val="20"/>
              </w:rPr>
              <w:t>医疗卫生与计划生育支出</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5.8</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5.8</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cs="宋体"/>
                <w:b w:val="0"/>
                <w:bCs w:val="0"/>
                <w:color w:val="000000"/>
                <w:sz w:val="20"/>
                <w:szCs w:val="20"/>
                <w:lang w:val="en-US" w:eastAsia="zh-CN"/>
              </w:rPr>
            </w:pPr>
            <w:r>
              <w:rPr>
                <w:rFonts w:hint="eastAsia" w:ascii="宋体" w:hAnsi="宋体" w:cs="宋体"/>
                <w:b w:val="0"/>
                <w:bCs w:val="0"/>
                <w:color w:val="000000"/>
                <w:sz w:val="20"/>
                <w:szCs w:val="20"/>
                <w:lang w:val="en-US" w:eastAsia="zh-CN"/>
              </w:rPr>
              <w:t>21011</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eastAsia="zh-CN"/>
              </w:rPr>
              <w:t>行政事业单位医疗</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val="0"/>
                <w:bCs w:val="0"/>
                <w:color w:val="000000"/>
                <w:sz w:val="20"/>
                <w:szCs w:val="20"/>
                <w:lang w:val="en-US" w:eastAsia="zh-CN"/>
              </w:rPr>
            </w:pPr>
            <w:r>
              <w:rPr>
                <w:rFonts w:hint="eastAsia" w:ascii="宋体" w:hAnsi="宋体" w:cs="宋体"/>
                <w:b w:val="0"/>
                <w:bCs w:val="0"/>
                <w:color w:val="000000"/>
                <w:sz w:val="20"/>
                <w:szCs w:val="20"/>
                <w:lang w:val="en-US" w:eastAsia="zh-CN"/>
              </w:rPr>
              <w:t>5.8</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val="0"/>
                <w:bCs w:val="0"/>
                <w:color w:val="000000"/>
                <w:sz w:val="20"/>
                <w:szCs w:val="20"/>
                <w:lang w:val="en-US" w:eastAsia="zh-CN"/>
              </w:rPr>
            </w:pPr>
            <w:r>
              <w:rPr>
                <w:rFonts w:hint="eastAsia" w:ascii="宋体" w:hAnsi="宋体" w:cs="宋体"/>
                <w:b w:val="0"/>
                <w:bCs w:val="0"/>
                <w:color w:val="000000"/>
                <w:sz w:val="20"/>
                <w:szCs w:val="20"/>
                <w:lang w:val="en-US" w:eastAsia="zh-CN"/>
              </w:rPr>
              <w:t>5.8</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2101101</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行政单位医疗</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221</w:t>
            </w:r>
          </w:p>
        </w:tc>
        <w:tc>
          <w:tcPr>
            <w:tcW w:w="2693"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b/>
                <w:bCs/>
                <w:color w:val="000000"/>
                <w:sz w:val="20"/>
                <w:szCs w:val="20"/>
              </w:rPr>
            </w:pPr>
            <w:r>
              <w:rPr>
                <w:rFonts w:hint="eastAsia" w:ascii="宋体" w:hAnsi="宋体" w:cs="宋体"/>
                <w:b/>
                <w:bCs/>
                <w:color w:val="000000"/>
                <w:sz w:val="20"/>
                <w:szCs w:val="20"/>
              </w:rPr>
              <w:t>住房保障支出</w:t>
            </w:r>
          </w:p>
        </w:tc>
        <w:tc>
          <w:tcPr>
            <w:tcW w:w="109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9.9</w:t>
            </w:r>
          </w:p>
        </w:tc>
        <w:tc>
          <w:tcPr>
            <w:tcW w:w="127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sz w:val="20"/>
                <w:szCs w:val="20"/>
                <w:lang w:val="en-US" w:eastAsia="zh-CN"/>
              </w:rPr>
            </w:pPr>
            <w:r>
              <w:rPr>
                <w:rFonts w:hint="eastAsia" w:ascii="宋体" w:hAnsi="宋体" w:cs="宋体"/>
                <w:b/>
                <w:bCs/>
                <w:color w:val="000000"/>
                <w:sz w:val="20"/>
                <w:szCs w:val="20"/>
                <w:lang w:val="en-US" w:eastAsia="zh-CN"/>
              </w:rPr>
              <w:t>9.9</w:t>
            </w:r>
          </w:p>
        </w:tc>
        <w:tc>
          <w:tcPr>
            <w:tcW w:w="16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cs="宋体"/>
                <w:b w:val="0"/>
                <w:bCs w:val="0"/>
                <w:color w:val="000000"/>
                <w:sz w:val="20"/>
                <w:szCs w:val="20"/>
                <w:lang w:val="en-US" w:eastAsia="zh-CN"/>
              </w:rPr>
            </w:pPr>
            <w:r>
              <w:rPr>
                <w:rFonts w:hint="eastAsia" w:ascii="宋体" w:hAnsi="宋体" w:cs="宋体"/>
                <w:b w:val="0"/>
                <w:bCs w:val="0"/>
                <w:color w:val="000000"/>
                <w:sz w:val="20"/>
                <w:szCs w:val="20"/>
                <w:lang w:val="en-US" w:eastAsia="zh-CN"/>
              </w:rPr>
              <w:t>22102</w:t>
            </w:r>
          </w:p>
        </w:tc>
        <w:tc>
          <w:tcPr>
            <w:tcW w:w="2693"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eastAsia="zh-CN"/>
              </w:rPr>
              <w:t>住房保障支出</w:t>
            </w:r>
          </w:p>
        </w:tc>
        <w:tc>
          <w:tcPr>
            <w:tcW w:w="109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宋体" w:cs="宋体"/>
                <w:b w:val="0"/>
                <w:bCs w:val="0"/>
                <w:color w:val="000000"/>
                <w:sz w:val="20"/>
                <w:szCs w:val="20"/>
                <w:lang w:val="en-US" w:eastAsia="zh-CN"/>
              </w:rPr>
            </w:pPr>
            <w:r>
              <w:rPr>
                <w:rFonts w:hint="eastAsia" w:ascii="宋体" w:hAnsi="宋体" w:cs="宋体"/>
                <w:b w:val="0"/>
                <w:bCs w:val="0"/>
                <w:color w:val="000000"/>
                <w:sz w:val="20"/>
                <w:szCs w:val="20"/>
                <w:lang w:val="en-US" w:eastAsia="zh-CN"/>
              </w:rPr>
              <w:t>9.9</w:t>
            </w:r>
          </w:p>
        </w:tc>
        <w:tc>
          <w:tcPr>
            <w:tcW w:w="1279"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宋体" w:cs="宋体"/>
                <w:b w:val="0"/>
                <w:bCs w:val="0"/>
                <w:color w:val="000000"/>
                <w:sz w:val="20"/>
                <w:szCs w:val="20"/>
                <w:lang w:val="en-US" w:eastAsia="zh-CN"/>
              </w:rPr>
            </w:pPr>
            <w:r>
              <w:rPr>
                <w:rFonts w:hint="eastAsia" w:ascii="宋体" w:hAnsi="宋体" w:cs="宋体"/>
                <w:b w:val="0"/>
                <w:bCs w:val="0"/>
                <w:color w:val="000000"/>
                <w:sz w:val="20"/>
                <w:szCs w:val="20"/>
                <w:lang w:val="en-US" w:eastAsia="zh-CN"/>
              </w:rPr>
              <w:t>9.9</w:t>
            </w:r>
          </w:p>
        </w:tc>
        <w:tc>
          <w:tcPr>
            <w:tcW w:w="16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4"/>
          <w:wAfter w:w="439" w:type="dxa"/>
          <w:trHeight w:val="185" w:hRule="atLeast"/>
        </w:trPr>
        <w:tc>
          <w:tcPr>
            <w:tcW w:w="1249" w:type="dxa"/>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2210201</w:t>
            </w:r>
          </w:p>
        </w:tc>
        <w:tc>
          <w:tcPr>
            <w:tcW w:w="2693" w:type="dxa"/>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住房公积金</w:t>
            </w:r>
          </w:p>
        </w:tc>
        <w:tc>
          <w:tcPr>
            <w:tcW w:w="109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9.9</w:t>
            </w:r>
          </w:p>
        </w:tc>
        <w:tc>
          <w:tcPr>
            <w:tcW w:w="1279"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9.9</w:t>
            </w:r>
          </w:p>
        </w:tc>
        <w:tc>
          <w:tcPr>
            <w:tcW w:w="16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9"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25"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01"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3"/>
          <w:wAfter w:w="385" w:type="dxa"/>
          <w:trHeight w:val="196" w:hRule="atLeast"/>
        </w:trPr>
        <w:tc>
          <w:tcPr>
            <w:tcW w:w="13627" w:type="dxa"/>
            <w:gridSpan w:val="30"/>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r>
        <w:tblPrEx>
          <w:tblCellMar>
            <w:top w:w="0" w:type="dxa"/>
            <w:left w:w="0" w:type="dxa"/>
            <w:bottom w:w="0" w:type="dxa"/>
            <w:right w:w="0" w:type="dxa"/>
          </w:tblCellMar>
        </w:tblPrEx>
        <w:trPr>
          <w:gridAfter w:val="2"/>
          <w:wAfter w:w="350" w:type="dxa"/>
          <w:trHeight w:val="312" w:hRule="atLeast"/>
        </w:trPr>
        <w:tc>
          <w:tcPr>
            <w:tcW w:w="13662" w:type="dxa"/>
            <w:gridSpan w:val="3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160" w:hRule="atLeast"/>
        </w:trPr>
        <w:tc>
          <w:tcPr>
            <w:tcW w:w="1249"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86"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1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85" w:type="dxa"/>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86"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85"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34" w:type="dxa"/>
            <w:gridSpan w:val="8"/>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160" w:hRule="atLeast"/>
        </w:trPr>
        <w:tc>
          <w:tcPr>
            <w:tcW w:w="1249"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eastAsia="zh-CN" w:bidi="ar"/>
              </w:rPr>
              <w:t>罗山县信访局</w:t>
            </w:r>
          </w:p>
        </w:tc>
        <w:tc>
          <w:tcPr>
            <w:tcW w:w="1686"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1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85" w:type="dxa"/>
            <w:gridSpan w:val="5"/>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786"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85"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34" w:type="dxa"/>
            <w:gridSpan w:val="8"/>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2"/>
          <w:wAfter w:w="350" w:type="dxa"/>
          <w:trHeight w:val="237" w:hRule="atLeast"/>
        </w:trPr>
        <w:tc>
          <w:tcPr>
            <w:tcW w:w="3657" w:type="dxa"/>
            <w:gridSpan w:val="6"/>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255"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402"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888" w:type="dxa"/>
            <w:gridSpan w:val="5"/>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887"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608"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65" w:type="dxa"/>
            <w:gridSpan w:val="5"/>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gridAfter w:val="2"/>
          <w:wAfter w:w="350" w:type="dxa"/>
          <w:trHeight w:val="312" w:hRule="atLeast"/>
        </w:trPr>
        <w:tc>
          <w:tcPr>
            <w:tcW w:w="972" w:type="dxa"/>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685"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25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02"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888"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887"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08"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65" w:type="dxa"/>
            <w:gridSpan w:val="5"/>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312" w:hRule="atLeast"/>
        </w:trPr>
        <w:tc>
          <w:tcPr>
            <w:tcW w:w="972" w:type="dxa"/>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685"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55"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02"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888" w:type="dxa"/>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887"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08"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65" w:type="dxa"/>
            <w:gridSpan w:val="5"/>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3657" w:type="dxa"/>
            <w:gridSpan w:val="6"/>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255"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40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888"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887"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08"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65" w:type="dxa"/>
            <w:gridSpan w:val="5"/>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2"/>
          <w:wAfter w:w="350" w:type="dxa"/>
          <w:trHeight w:val="232" w:hRule="atLeast"/>
        </w:trPr>
        <w:tc>
          <w:tcPr>
            <w:tcW w:w="3657" w:type="dxa"/>
            <w:gridSpan w:val="6"/>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275.6</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275.6</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201</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rPr>
              <w:t>一般公共服务支出</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245.3</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245.3</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20103</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16"/>
                <w:szCs w:val="16"/>
                <w:lang w:eastAsia="zh-CN"/>
              </w:rPr>
              <w:t>政府办公厅（室）及其相关机构事务</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245.3</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245.3</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2010301</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行政运行</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华文中宋" w:hAnsi="华文中宋" w:eastAsia="华文中宋" w:cs="华文中宋"/>
                <w:color w:val="000000"/>
                <w:kern w:val="2"/>
                <w:sz w:val="20"/>
                <w:szCs w:val="20"/>
                <w:lang w:val="en-US" w:eastAsia="zh-CN" w:bidi="ar-SA"/>
              </w:rPr>
            </w:pPr>
            <w:r>
              <w:rPr>
                <w:rFonts w:hint="eastAsia" w:ascii="宋体" w:hAnsi="宋体" w:cs="宋体"/>
                <w:color w:val="000000"/>
                <w:sz w:val="20"/>
                <w:szCs w:val="20"/>
                <w:lang w:val="en-US" w:eastAsia="zh-CN"/>
              </w:rPr>
              <w:t>245.3</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245.3</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208</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rPr>
              <w:t>社会保障和就业支出</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14.6</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14.6</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20805</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sz w:val="16"/>
                <w:szCs w:val="16"/>
                <w:lang w:eastAsia="zh-CN"/>
              </w:rPr>
            </w:pPr>
            <w:r>
              <w:rPr>
                <w:rFonts w:hint="eastAsia" w:ascii="宋体" w:hAnsi="宋体" w:cs="宋体"/>
                <w:b/>
                <w:bCs/>
                <w:color w:val="000000"/>
                <w:sz w:val="16"/>
                <w:szCs w:val="16"/>
                <w:lang w:eastAsia="zh-CN"/>
              </w:rPr>
              <w:t>行政事业单位离退休</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13.7</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13.7</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2080505</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16"/>
                <w:szCs w:val="16"/>
              </w:rPr>
              <w:t>机关事业单位基本养老保险缴费支出</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13.7</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13.7</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20808</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sz w:val="20"/>
                <w:szCs w:val="20"/>
                <w:lang w:eastAsia="zh-CN"/>
              </w:rPr>
            </w:pPr>
            <w:r>
              <w:rPr>
                <w:rFonts w:hint="eastAsia" w:ascii="宋体" w:hAnsi="宋体" w:cs="宋体"/>
                <w:b/>
                <w:bCs/>
                <w:color w:val="000000"/>
                <w:sz w:val="20"/>
                <w:szCs w:val="20"/>
                <w:lang w:eastAsia="zh-CN"/>
              </w:rPr>
              <w:t>抚恤</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0.9</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0.9</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2080801</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rPr>
              <w:t>死亡抚恤</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0.9</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0.9</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210</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rPr>
              <w:t>医疗卫生与计划生育支出</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5.8</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5.8</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21011</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行政事业单位医疗</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5.8</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5.8</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2101101</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rPr>
              <w:t>行政单位医疗</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5.8</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5.8</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221</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rPr>
              <w:t>住房保障支出</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9.9</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9.9</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22102</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住房保障支出</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9.9</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9.9</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232" w:hRule="atLeast"/>
        </w:trPr>
        <w:tc>
          <w:tcPr>
            <w:tcW w:w="972" w:type="dxa"/>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2210201</w:t>
            </w:r>
          </w:p>
        </w:tc>
        <w:tc>
          <w:tcPr>
            <w:tcW w:w="2685" w:type="dxa"/>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rPr>
              <w:t>住房公积金</w:t>
            </w:r>
          </w:p>
        </w:tc>
        <w:tc>
          <w:tcPr>
            <w:tcW w:w="125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9.9</w:t>
            </w:r>
          </w:p>
        </w:tc>
        <w:tc>
          <w:tcPr>
            <w:tcW w:w="14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9.9</w:t>
            </w:r>
          </w:p>
        </w:tc>
        <w:tc>
          <w:tcPr>
            <w:tcW w:w="1888"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8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0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6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gridAfter w:val="2"/>
          <w:wAfter w:w="350" w:type="dxa"/>
          <w:trHeight w:val="324" w:hRule="atLeast"/>
        </w:trPr>
        <w:tc>
          <w:tcPr>
            <w:tcW w:w="13662" w:type="dxa"/>
            <w:gridSpan w:val="31"/>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3266"/>
        <w:gridCol w:w="1238"/>
        <w:gridCol w:w="1155"/>
        <w:gridCol w:w="2663"/>
        <w:gridCol w:w="766"/>
        <w:gridCol w:w="540"/>
        <w:gridCol w:w="1217"/>
        <w:gridCol w:w="590"/>
        <w:gridCol w:w="915"/>
        <w:gridCol w:w="1282"/>
      </w:tblGrid>
      <w:tr>
        <w:tblPrEx>
          <w:tblCellMar>
            <w:top w:w="0" w:type="dxa"/>
            <w:left w:w="0" w:type="dxa"/>
            <w:bottom w:w="0" w:type="dxa"/>
            <w:right w:w="0" w:type="dxa"/>
          </w:tblCellMar>
        </w:tblPrEx>
        <w:trPr>
          <w:trHeight w:val="90" w:hRule="atLeast"/>
        </w:trPr>
        <w:tc>
          <w:tcPr>
            <w:tcW w:w="12350"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c>
          <w:tcPr>
            <w:tcW w:w="1282"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lang w:bidi="ar"/>
              </w:rPr>
            </w:pPr>
          </w:p>
        </w:tc>
      </w:tr>
      <w:tr>
        <w:tblPrEx>
          <w:tblCellMar>
            <w:top w:w="0" w:type="dxa"/>
            <w:left w:w="0" w:type="dxa"/>
            <w:bottom w:w="0" w:type="dxa"/>
            <w:right w:w="0" w:type="dxa"/>
          </w:tblCellMar>
        </w:tblPrEx>
        <w:trPr>
          <w:trHeight w:val="90" w:hRule="atLeast"/>
        </w:trPr>
        <w:tc>
          <w:tcPr>
            <w:tcW w:w="326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3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1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66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6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5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7"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91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282"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trPr>
        <w:tc>
          <w:tcPr>
            <w:tcW w:w="3266"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罗山县信访局</w:t>
            </w:r>
          </w:p>
        </w:tc>
        <w:tc>
          <w:tcPr>
            <w:tcW w:w="123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15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66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6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5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7"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1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282"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90" w:hRule="atLeast"/>
        </w:trPr>
        <w:tc>
          <w:tcPr>
            <w:tcW w:w="5659"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973"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26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50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c>
          <w:tcPr>
            <w:tcW w:w="1282"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rPr>
              <w:t>国有资本经营预算财政拨款</w:t>
            </w: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5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6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505"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282"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w:t>
            </w: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275.6</w:t>
            </w:r>
          </w:p>
        </w:tc>
        <w:tc>
          <w:tcPr>
            <w:tcW w:w="26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5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245.3</w:t>
            </w:r>
          </w:p>
        </w:tc>
        <w:tc>
          <w:tcPr>
            <w:tcW w:w="150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82"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5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0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82"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三、国有资本经营预算财政拨款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5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0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82"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5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0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82"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5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0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82"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w:t>
            </w:r>
            <w:r>
              <w:rPr>
                <w:rFonts w:hint="eastAsia" w:ascii="宋体" w:hAnsi="宋体" w:cs="宋体"/>
                <w:color w:val="000000"/>
                <w:kern w:val="0"/>
                <w:sz w:val="20"/>
                <w:szCs w:val="20"/>
                <w:lang w:eastAsia="zh-CN" w:bidi="ar"/>
              </w:rPr>
              <w:t>住房保障</w:t>
            </w:r>
            <w:r>
              <w:rPr>
                <w:rFonts w:hint="eastAsia" w:ascii="宋体" w:hAnsi="宋体" w:cs="宋体"/>
                <w:color w:val="000000"/>
                <w:kern w:val="0"/>
                <w:sz w:val="20"/>
                <w:szCs w:val="20"/>
                <w:lang w:bidi="ar"/>
              </w:rPr>
              <w:t>支出</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5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9.9</w:t>
            </w:r>
          </w:p>
        </w:tc>
        <w:tc>
          <w:tcPr>
            <w:tcW w:w="150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82"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lang w:eastAsia="zh-CN"/>
              </w:rPr>
              <w:t>七、社会保障与就业支出</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5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14.6</w:t>
            </w:r>
          </w:p>
        </w:tc>
        <w:tc>
          <w:tcPr>
            <w:tcW w:w="150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282"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tabs>
                <w:tab w:val="left" w:pos="809"/>
              </w:tabs>
              <w:jc w:val="both"/>
              <w:textAlignment w:val="center"/>
              <w:rPr>
                <w:rFonts w:hint="eastAsia" w:ascii="宋体" w:hAnsi="宋体" w:cs="宋体"/>
                <w:color w:val="000000"/>
                <w:sz w:val="20"/>
                <w:szCs w:val="20"/>
              </w:rPr>
            </w:pPr>
            <w:r>
              <w:rPr>
                <w:rFonts w:hint="eastAsia" w:ascii="宋体" w:hAnsi="宋体" w:cs="宋体"/>
                <w:color w:val="000000"/>
                <w:sz w:val="20"/>
                <w:szCs w:val="20"/>
                <w:lang w:eastAsia="zh-CN"/>
              </w:rPr>
              <w:t>八、医疗卫生与计划生育支出</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5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w:t>
            </w:r>
          </w:p>
        </w:tc>
        <w:tc>
          <w:tcPr>
            <w:tcW w:w="150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1282"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275.6</w:t>
            </w:r>
          </w:p>
        </w:tc>
        <w:tc>
          <w:tcPr>
            <w:tcW w:w="266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5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275.6</w:t>
            </w:r>
          </w:p>
        </w:tc>
        <w:tc>
          <w:tcPr>
            <w:tcW w:w="150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p>
        </w:tc>
        <w:tc>
          <w:tcPr>
            <w:tcW w:w="1282"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年末财政拨款结转和结余</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5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0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282"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5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0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282"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1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54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05"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282"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15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663"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54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cs="宋体"/>
                <w:color w:val="000000"/>
                <w:sz w:val="20"/>
                <w:szCs w:val="20"/>
              </w:rPr>
            </w:pPr>
          </w:p>
        </w:tc>
        <w:tc>
          <w:tcPr>
            <w:tcW w:w="1505"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282"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266"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123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15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275.6</w:t>
            </w:r>
          </w:p>
        </w:tc>
        <w:tc>
          <w:tcPr>
            <w:tcW w:w="2663"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54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7"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275.6</w:t>
            </w:r>
          </w:p>
        </w:tc>
        <w:tc>
          <w:tcPr>
            <w:tcW w:w="1505"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p>
        </w:tc>
        <w:tc>
          <w:tcPr>
            <w:tcW w:w="1282"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90" w:hRule="atLeast"/>
        </w:trPr>
        <w:tc>
          <w:tcPr>
            <w:tcW w:w="12350"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282"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lang w:bidi="ar"/>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706"/>
        <w:gridCol w:w="276"/>
        <w:gridCol w:w="235"/>
        <w:gridCol w:w="3416"/>
        <w:gridCol w:w="2274"/>
        <w:gridCol w:w="14"/>
        <w:gridCol w:w="2954"/>
        <w:gridCol w:w="3445"/>
      </w:tblGrid>
      <w:tr>
        <w:tblPrEx>
          <w:tblCellMar>
            <w:top w:w="0" w:type="dxa"/>
            <w:left w:w="0" w:type="dxa"/>
            <w:bottom w:w="0" w:type="dxa"/>
            <w:right w:w="0" w:type="dxa"/>
          </w:tblCellMar>
        </w:tblPrEx>
        <w:trPr>
          <w:trHeight w:val="200" w:hRule="atLeast"/>
        </w:trPr>
        <w:tc>
          <w:tcPr>
            <w:tcW w:w="13320" w:type="dxa"/>
            <w:gridSpan w:val="8"/>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102" w:hRule="atLeast"/>
        </w:trPr>
        <w:tc>
          <w:tcPr>
            <w:tcW w:w="70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1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1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7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968"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18"/>
                <w:rFonts w:hint="default"/>
                <w:lang w:bidi="ar"/>
              </w:rPr>
              <w:t>5表</w:t>
            </w:r>
          </w:p>
        </w:tc>
      </w:tr>
      <w:tr>
        <w:tblPrEx>
          <w:tblCellMar>
            <w:top w:w="0" w:type="dxa"/>
            <w:left w:w="0" w:type="dxa"/>
            <w:bottom w:w="0" w:type="dxa"/>
            <w:right w:w="0" w:type="dxa"/>
          </w:tblCellMar>
        </w:tblPrEx>
        <w:trPr>
          <w:trHeight w:val="102" w:hRule="atLeast"/>
        </w:trPr>
        <w:tc>
          <w:tcPr>
            <w:tcW w:w="982"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w:t>
            </w:r>
          </w:p>
        </w:tc>
        <w:tc>
          <w:tcPr>
            <w:tcW w:w="23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县</w:t>
            </w:r>
          </w:p>
        </w:tc>
        <w:tc>
          <w:tcPr>
            <w:tcW w:w="3416" w:type="dxa"/>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信访局</w:t>
            </w:r>
          </w:p>
        </w:tc>
        <w:tc>
          <w:tcPr>
            <w:tcW w:w="2288"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954"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109" w:hRule="atLeast"/>
        </w:trPr>
        <w:tc>
          <w:tcPr>
            <w:tcW w:w="4633"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19"/>
                <w:rFonts w:hint="default"/>
                <w:sz w:val="20"/>
                <w:szCs w:val="20"/>
                <w:lang w:bidi="ar"/>
              </w:rPr>
              <w:t xml:space="preserve">   </w:t>
            </w:r>
            <w:r>
              <w:rPr>
                <w:rStyle w:val="20"/>
                <w:rFonts w:hint="default"/>
                <w:sz w:val="20"/>
                <w:szCs w:val="20"/>
                <w:lang w:bidi="ar"/>
              </w:rPr>
              <w:t>目</w:t>
            </w:r>
          </w:p>
        </w:tc>
        <w:tc>
          <w:tcPr>
            <w:tcW w:w="8687" w:type="dxa"/>
            <w:gridSpan w:val="4"/>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trPr>
        <w:tc>
          <w:tcPr>
            <w:tcW w:w="1217"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34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2274"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2968"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45"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trPr>
        <w:tc>
          <w:tcPr>
            <w:tcW w:w="1217"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7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968"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5"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312" w:hRule="atLeast"/>
        </w:trPr>
        <w:tc>
          <w:tcPr>
            <w:tcW w:w="1217"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74"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968"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5"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4633"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106" w:hRule="atLeast"/>
        </w:trPr>
        <w:tc>
          <w:tcPr>
            <w:tcW w:w="4633"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275.6</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275.6</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201</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rPr>
              <w:t>一般公共服务支出</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245.3</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245.3</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20103</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16"/>
                <w:szCs w:val="16"/>
                <w:lang w:eastAsia="zh-CN"/>
              </w:rPr>
              <w:t>政府办公厅（室）及其相关机构事务</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245.3</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245.3</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2010301</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eastAsia="zh-CN"/>
              </w:rPr>
              <w:t>行政运行</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华文中宋" w:hAnsi="华文中宋" w:eastAsia="华文中宋" w:cs="华文中宋"/>
                <w:color w:val="000000"/>
                <w:kern w:val="2"/>
                <w:sz w:val="20"/>
                <w:szCs w:val="20"/>
                <w:lang w:val="en-US" w:eastAsia="zh-CN" w:bidi="ar-SA"/>
              </w:rPr>
            </w:pPr>
            <w:r>
              <w:rPr>
                <w:rFonts w:hint="eastAsia" w:ascii="宋体" w:hAnsi="宋体" w:cs="宋体"/>
                <w:color w:val="000000"/>
                <w:sz w:val="20"/>
                <w:szCs w:val="20"/>
                <w:lang w:val="en-US" w:eastAsia="zh-CN"/>
              </w:rPr>
              <w:t>245.3</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245.3</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208</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rPr>
              <w:t>社会保障和就业支出</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14.6</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b/>
                <w:bCs/>
                <w:color w:val="000000"/>
                <w:sz w:val="20"/>
                <w:szCs w:val="20"/>
                <w:lang w:val="en-US" w:eastAsia="zh-CN"/>
              </w:rPr>
              <w:t>14.9</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20805</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b/>
                <w:bCs/>
                <w:color w:val="000000"/>
                <w:sz w:val="20"/>
                <w:szCs w:val="20"/>
                <w:lang w:eastAsia="zh-CN"/>
              </w:rPr>
              <w:t>行政事业单位离退休</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b/>
                <w:bCs/>
                <w:color w:val="000000"/>
                <w:sz w:val="20"/>
                <w:szCs w:val="20"/>
                <w:lang w:val="en-US" w:eastAsia="zh-CN"/>
              </w:rPr>
              <w:t>13.7</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b/>
                <w:bCs/>
                <w:color w:val="000000"/>
                <w:sz w:val="20"/>
                <w:szCs w:val="20"/>
                <w:lang w:val="en-US" w:eastAsia="zh-CN"/>
              </w:rPr>
              <w:t>13.7</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2080505</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rPr>
              <w:t>机关事业单位基本养老保险缴费支出</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13.7</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13.7</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20808</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b/>
                <w:bCs/>
                <w:color w:val="000000"/>
                <w:sz w:val="20"/>
                <w:szCs w:val="20"/>
                <w:lang w:eastAsia="zh-CN"/>
              </w:rPr>
              <w:t>抚恤</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b/>
                <w:bCs/>
                <w:color w:val="000000"/>
                <w:sz w:val="20"/>
                <w:szCs w:val="20"/>
                <w:lang w:val="en-US" w:eastAsia="zh-CN"/>
              </w:rPr>
              <w:t>0.9</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b/>
                <w:bCs/>
                <w:color w:val="000000"/>
                <w:sz w:val="20"/>
                <w:szCs w:val="20"/>
                <w:lang w:val="en-US" w:eastAsia="zh-CN"/>
              </w:rPr>
              <w:t>0.9</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2080801</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rPr>
              <w:t>死亡抚恤</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0.9</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0.9</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210</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rPr>
              <w:t>医疗卫生与计划生育支出</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5.8</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5.8</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21011</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sz w:val="20"/>
                <w:szCs w:val="20"/>
                <w:lang w:eastAsia="zh-CN"/>
              </w:rPr>
            </w:pPr>
            <w:r>
              <w:rPr>
                <w:rFonts w:hint="eastAsia" w:ascii="宋体" w:hAnsi="宋体" w:cs="宋体"/>
                <w:b/>
                <w:bCs/>
                <w:color w:val="000000"/>
                <w:sz w:val="20"/>
                <w:szCs w:val="20"/>
                <w:lang w:eastAsia="zh-CN"/>
              </w:rPr>
              <w:t>行政事业单位医疗</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5.8</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b/>
                <w:bCs/>
                <w:color w:val="000000"/>
                <w:sz w:val="20"/>
                <w:szCs w:val="20"/>
                <w:lang w:val="en-US" w:eastAsia="zh-CN"/>
              </w:rPr>
            </w:pPr>
            <w:r>
              <w:rPr>
                <w:rFonts w:hint="eastAsia" w:ascii="宋体" w:hAnsi="宋体" w:cs="宋体"/>
                <w:b/>
                <w:bCs/>
                <w:color w:val="000000"/>
                <w:sz w:val="20"/>
                <w:szCs w:val="20"/>
                <w:lang w:val="en-US" w:eastAsia="zh-CN"/>
              </w:rPr>
              <w:t>5.8</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6"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2101101</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rPr>
              <w:t>行政单位医疗</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5.8</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5.8</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7"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221</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rPr>
              <w:t>住房保障支出</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9.9</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bCs/>
                <w:color w:val="000000"/>
                <w:kern w:val="2"/>
                <w:sz w:val="20"/>
                <w:szCs w:val="20"/>
                <w:lang w:val="en-US" w:eastAsia="zh-CN" w:bidi="ar-SA"/>
              </w:rPr>
            </w:pPr>
            <w:r>
              <w:rPr>
                <w:rFonts w:hint="eastAsia" w:ascii="宋体" w:hAnsi="宋体" w:cs="宋体"/>
                <w:b/>
                <w:bCs/>
                <w:color w:val="000000"/>
                <w:sz w:val="20"/>
                <w:szCs w:val="20"/>
                <w:lang w:val="en-US" w:eastAsia="zh-CN"/>
              </w:rPr>
              <w:t>9.9</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27"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22102</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住房保障支出</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9.9</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cs="宋体"/>
                <w:color w:val="000000"/>
                <w:sz w:val="20"/>
                <w:szCs w:val="20"/>
                <w:lang w:val="en-US" w:eastAsia="zh-CN"/>
              </w:rPr>
            </w:pPr>
            <w:r>
              <w:rPr>
                <w:rFonts w:hint="eastAsia" w:ascii="宋体" w:hAnsi="宋体" w:cs="宋体"/>
                <w:color w:val="000000"/>
                <w:sz w:val="20"/>
                <w:szCs w:val="20"/>
                <w:lang w:val="en-US" w:eastAsia="zh-CN"/>
              </w:rPr>
              <w:t>9.9</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87" w:hRule="atLeast"/>
        </w:trPr>
        <w:tc>
          <w:tcPr>
            <w:tcW w:w="1217"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2210201</w:t>
            </w:r>
          </w:p>
        </w:tc>
        <w:tc>
          <w:tcPr>
            <w:tcW w:w="34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rPr>
              <w:t>住房公积金</w:t>
            </w:r>
          </w:p>
        </w:tc>
        <w:tc>
          <w:tcPr>
            <w:tcW w:w="22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9.9</w:t>
            </w:r>
          </w:p>
        </w:tc>
        <w:tc>
          <w:tcPr>
            <w:tcW w:w="29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9.9</w:t>
            </w:r>
          </w:p>
        </w:tc>
        <w:tc>
          <w:tcPr>
            <w:tcW w:w="344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102" w:hRule="atLeast"/>
        </w:trPr>
        <w:tc>
          <w:tcPr>
            <w:tcW w:w="13320" w:type="dxa"/>
            <w:gridSpan w:val="8"/>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16"/>
                <w:szCs w:val="16"/>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3" w:right="1440" w:bottom="1689" w:left="1440" w:header="720" w:footer="720" w:gutter="0"/>
          <w:pgNumType w:fmt="numberInDash"/>
          <w:cols w:space="0" w:num="1"/>
          <w:rtlGutter w:val="0"/>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Arial" w:hAnsi="Arial" w:eastAsia="宋体" w:cs="Arial"/>
                <w:color w:val="000000"/>
                <w:sz w:val="20"/>
                <w:szCs w:val="20"/>
                <w:lang w:eastAsia="zh-CN"/>
              </w:rPr>
            </w:pPr>
            <w:r>
              <w:rPr>
                <w:rFonts w:hint="eastAsia" w:ascii="宋体" w:hAnsi="宋体" w:cs="宋体"/>
                <w:color w:val="000000"/>
                <w:kern w:val="0"/>
                <w:sz w:val="20"/>
                <w:szCs w:val="20"/>
                <w:lang w:bidi="ar"/>
              </w:rPr>
              <w:t>部门</w:t>
            </w:r>
            <w:r>
              <w:rPr>
                <w:rFonts w:ascii="Arial" w:hAnsi="Arial" w:cs="Arial"/>
                <w:color w:val="000000"/>
                <w:kern w:val="0"/>
                <w:sz w:val="20"/>
                <w:szCs w:val="20"/>
                <w:lang w:bidi="ar"/>
              </w:rPr>
              <w:t>：</w:t>
            </w:r>
            <w:r>
              <w:rPr>
                <w:rFonts w:hint="eastAsia" w:ascii="Arial" w:hAnsi="Arial" w:cs="Arial"/>
                <w:color w:val="000000"/>
                <w:kern w:val="0"/>
                <w:sz w:val="20"/>
                <w:szCs w:val="20"/>
                <w:lang w:eastAsia="zh-CN" w:bidi="ar"/>
              </w:rPr>
              <w:t>罗山</w:t>
            </w:r>
          </w:p>
        </w:tc>
        <w:tc>
          <w:tcPr>
            <w:tcW w:w="2785" w:type="dxa"/>
            <w:tcBorders>
              <w:top w:val="nil"/>
              <w:left w:val="nil"/>
              <w:bottom w:val="nil"/>
              <w:right w:val="nil"/>
            </w:tcBorders>
            <w:noWrap/>
            <w:tcMar>
              <w:top w:w="15" w:type="dxa"/>
              <w:left w:w="15" w:type="dxa"/>
              <w:right w:w="15" w:type="dxa"/>
            </w:tcMar>
            <w:vAlign w:val="center"/>
          </w:tcPr>
          <w:p>
            <w:pPr>
              <w:rPr>
                <w:rFonts w:hint="eastAsia" w:ascii="Arial" w:hAnsi="Arial" w:eastAsia="宋体" w:cs="Arial"/>
                <w:color w:val="000000"/>
                <w:sz w:val="20"/>
                <w:szCs w:val="20"/>
                <w:lang w:eastAsia="zh-CN"/>
              </w:rPr>
            </w:pPr>
            <w:r>
              <w:rPr>
                <w:rFonts w:hint="eastAsia" w:ascii="Arial" w:hAnsi="Arial" w:cs="Arial"/>
                <w:color w:val="000000"/>
                <w:sz w:val="20"/>
                <w:szCs w:val="20"/>
                <w:lang w:eastAsia="zh-CN"/>
              </w:rPr>
              <w:t>县信访局</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b/>
                <w:bCs/>
                <w:color w:val="000000"/>
                <w:sz w:val="20"/>
                <w:szCs w:val="20"/>
                <w:lang w:val="en-US" w:eastAsia="zh-CN"/>
              </w:rPr>
              <w:t>155.59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b/>
                <w:bCs/>
                <w:color w:val="000000"/>
                <w:sz w:val="20"/>
                <w:szCs w:val="20"/>
                <w:lang w:val="en-US" w:eastAsia="zh-CN"/>
              </w:rPr>
              <w:t>117.03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8.74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23.13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b/>
                <w:bCs/>
                <w:color w:val="000000"/>
                <w:sz w:val="20"/>
                <w:szCs w:val="20"/>
                <w:lang w:val="en-US" w:eastAsia="zh-CN"/>
              </w:rPr>
              <w:t>2.98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0.93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1.51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4.29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0.61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b/>
                <w:bCs/>
                <w:color w:val="000000"/>
                <w:sz w:val="20"/>
                <w:szCs w:val="20"/>
                <w:lang w:val="en-US" w:eastAsia="zh-CN"/>
              </w:rPr>
              <w:t>158.57</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b/>
                <w:bCs/>
                <w:color w:val="000000"/>
                <w:sz w:val="20"/>
                <w:szCs w:val="20"/>
                <w:lang w:val="en-US" w:eastAsia="zh-CN"/>
              </w:rPr>
              <w:t>117.03</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9"/>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w:t>
            </w: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信访局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17"/>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9"/>
        <w:tblW w:w="14018" w:type="dxa"/>
        <w:tblInd w:w="0" w:type="dxa"/>
        <w:tblLayout w:type="fixed"/>
        <w:tblCellMar>
          <w:top w:w="0" w:type="dxa"/>
          <w:left w:w="0" w:type="dxa"/>
          <w:bottom w:w="0" w:type="dxa"/>
          <w:right w:w="0" w:type="dxa"/>
        </w:tblCellMar>
      </w:tblPr>
      <w:tblGrid>
        <w:gridCol w:w="612"/>
        <w:gridCol w:w="405"/>
        <w:gridCol w:w="240"/>
        <w:gridCol w:w="1167"/>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40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1017"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w:t>
            </w:r>
          </w:p>
        </w:tc>
        <w:tc>
          <w:tcPr>
            <w:tcW w:w="24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县</w:t>
            </w:r>
          </w:p>
        </w:tc>
        <w:tc>
          <w:tcPr>
            <w:tcW w:w="119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信访局</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017"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40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017"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017"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4"/>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eastAsia="zh-CN"/>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01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01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01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01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017"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017"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40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注：本表反映部门本年度政府性基金预算财政拨款收入、支出及结转和结余情况。</w:t>
            </w:r>
          </w:p>
          <w:p>
            <w:pPr>
              <w:widowControl/>
              <w:jc w:val="left"/>
              <w:textAlignment w:val="center"/>
              <w:rPr>
                <w:rFonts w:ascii="宋体" w:hAnsi="宋体" w:cs="宋体"/>
                <w:color w:val="000000"/>
                <w:sz w:val="22"/>
              </w:rPr>
            </w:pPr>
            <w:r>
              <w:rPr>
                <w:rFonts w:hint="eastAsia" w:ascii="宋体" w:hAnsi="宋体" w:cs="宋体"/>
                <w:color w:val="000000"/>
                <w:sz w:val="22"/>
              </w:rPr>
              <w:t>说明：我部门没有政府性基金收入，也没有使用政府性基金安排的支出，故本表无数据。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hint="eastAsia" w:ascii="宋体" w:hAnsi="宋体" w:cs="宋体"/>
                <w:color w:val="000000"/>
                <w:sz w:val="20"/>
                <w:szCs w:val="20"/>
              </w:rPr>
            </w:pP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adjustRightInd w:val="0"/>
        <w:snapToGrid w:val="0"/>
        <w:spacing w:line="500" w:lineRule="exact"/>
        <w:jc w:val="center"/>
        <w:rPr>
          <w:rFonts w:ascii="黑体" w:hAnsi="黑体" w:eastAsia="黑体" w:cs="黑体"/>
          <w:spacing w:val="-38"/>
          <w:sz w:val="44"/>
          <w:szCs w:val="44"/>
        </w:rPr>
      </w:pPr>
      <w:r>
        <w:rPr>
          <w:rFonts w:hint="eastAsia" w:ascii="黑体" w:hAnsi="黑体" w:eastAsia="黑体" w:cs="黑体"/>
          <w:sz w:val="44"/>
          <w:szCs w:val="44"/>
        </w:rPr>
        <w:t>第</w:t>
      </w:r>
      <w:r>
        <w:rPr>
          <w:rFonts w:hint="eastAsia" w:ascii="黑体" w:hAnsi="黑体" w:eastAsia="黑体" w:cs="黑体"/>
          <w:sz w:val="44"/>
          <w:szCs w:val="44"/>
          <w:lang w:eastAsia="zh-CN"/>
        </w:rPr>
        <w:t>三</w:t>
      </w:r>
      <w:r>
        <w:rPr>
          <w:rFonts w:hint="eastAsia" w:ascii="黑体" w:hAnsi="黑体" w:eastAsia="黑体" w:cs="黑体"/>
          <w:sz w:val="44"/>
          <w:szCs w:val="44"/>
        </w:rPr>
        <w:t>部分</w:t>
      </w:r>
    </w:p>
    <w:p>
      <w:pPr>
        <w:adjustRightInd w:val="0"/>
        <w:snapToGrid w:val="0"/>
        <w:spacing w:line="500" w:lineRule="exact"/>
        <w:jc w:val="center"/>
        <w:rPr>
          <w:rFonts w:ascii="仿宋" w:hAnsi="仿宋" w:eastAsia="仿宋" w:cs="仿宋"/>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年度部门决算情况说明</w:t>
      </w:r>
    </w:p>
    <w:p>
      <w:pPr>
        <w:adjustRightInd w:val="0"/>
        <w:snapToGrid w:val="0"/>
        <w:spacing w:line="500" w:lineRule="exact"/>
        <w:ind w:firstLine="640"/>
        <w:rPr>
          <w:rFonts w:ascii="仿宋" w:hAnsi="仿宋" w:eastAsia="仿宋" w:cs="仿宋"/>
          <w:sz w:val="44"/>
          <w:szCs w:val="44"/>
        </w:rPr>
      </w:pPr>
    </w:p>
    <w:p>
      <w:pPr>
        <w:adjustRightInd w:val="0"/>
        <w:snapToGrid w:val="0"/>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一、收入支出决算总体情况说明</w:t>
      </w:r>
    </w:p>
    <w:p>
      <w:pPr>
        <w:adjustRightInd w:val="0"/>
        <w:snapToGrid w:val="0"/>
        <w:spacing w:line="500" w:lineRule="exact"/>
        <w:ind w:firstLine="640"/>
        <w:rPr>
          <w:rFonts w:hint="default" w:ascii="仿宋" w:hAnsi="仿宋" w:eastAsia="仿宋" w:cs="仿宋"/>
          <w:sz w:val="32"/>
          <w:szCs w:val="32"/>
          <w:lang w:val="en-US"/>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度，</w:t>
      </w:r>
      <w:r>
        <w:rPr>
          <w:rFonts w:hint="eastAsia" w:ascii="仿宋" w:hAnsi="仿宋" w:eastAsia="仿宋" w:cs="仿宋"/>
          <w:sz w:val="32"/>
          <w:szCs w:val="32"/>
        </w:rPr>
        <w:t>罗山县信访局收入总计</w:t>
      </w:r>
      <w:r>
        <w:rPr>
          <w:rFonts w:hint="eastAsia" w:ascii="仿宋" w:hAnsi="仿宋" w:eastAsia="仿宋" w:cs="仿宋"/>
          <w:sz w:val="32"/>
          <w:szCs w:val="32"/>
          <w:lang w:val="en-US" w:eastAsia="zh-CN"/>
        </w:rPr>
        <w:t>275.6</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275.6</w:t>
      </w:r>
      <w:r>
        <w:rPr>
          <w:rFonts w:hint="eastAsia" w:ascii="仿宋" w:hAnsi="仿宋" w:eastAsia="仿宋" w:cs="仿宋"/>
          <w:sz w:val="32"/>
          <w:szCs w:val="32"/>
        </w:rPr>
        <w:t>万元，与20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257.9</w:t>
      </w:r>
      <w:r>
        <w:rPr>
          <w:rFonts w:hint="eastAsia" w:ascii="仿宋" w:hAnsi="仿宋" w:eastAsia="仿宋" w:cs="仿宋"/>
          <w:sz w:val="32"/>
          <w:szCs w:val="32"/>
        </w:rPr>
        <w:t>万相比，收、支总计各</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17.7</w:t>
      </w:r>
      <w:r>
        <w:rPr>
          <w:rFonts w:hint="eastAsia" w:ascii="仿宋" w:hAnsi="仿宋" w:eastAsia="仿宋" w:cs="仿宋"/>
          <w:sz w:val="32"/>
          <w:szCs w:val="32"/>
        </w:rPr>
        <w:t>万元，</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6.8</w:t>
      </w:r>
      <w:r>
        <w:rPr>
          <w:rFonts w:hint="eastAsia" w:ascii="仿宋" w:hAnsi="仿宋" w:eastAsia="仿宋" w:cs="仿宋"/>
          <w:sz w:val="32"/>
          <w:szCs w:val="32"/>
        </w:rPr>
        <w:t xml:space="preserve"> %</w:t>
      </w:r>
      <w:r>
        <w:rPr>
          <w:rFonts w:hint="eastAsia" w:ascii="仿宋" w:hAnsi="仿宋" w:eastAsia="仿宋" w:cs="仿宋"/>
          <w:sz w:val="32"/>
          <w:szCs w:val="32"/>
          <w:lang w:eastAsia="zh-CN"/>
        </w:rPr>
        <w:t>。主要原因：因工作需要，</w:t>
      </w:r>
      <w:r>
        <w:rPr>
          <w:rFonts w:hint="eastAsia" w:ascii="仿宋" w:hAnsi="仿宋" w:eastAsia="仿宋" w:cs="仿宋"/>
          <w:sz w:val="32"/>
          <w:szCs w:val="32"/>
          <w:lang w:val="en-US" w:eastAsia="zh-CN"/>
        </w:rPr>
        <w:t>2022年度增加部分工作经费。</w:t>
      </w:r>
    </w:p>
    <w:p>
      <w:pPr>
        <w:adjustRightInd w:val="0"/>
        <w:snapToGrid w:val="0"/>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二、收入决算情况说明</w:t>
      </w:r>
    </w:p>
    <w:p>
      <w:pPr>
        <w:adjustRightInd w:val="0"/>
        <w:snapToGrid w:val="0"/>
        <w:spacing w:line="50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度，</w:t>
      </w:r>
      <w:r>
        <w:rPr>
          <w:rFonts w:hint="eastAsia" w:ascii="仿宋" w:hAnsi="仿宋" w:eastAsia="仿宋" w:cs="仿宋"/>
          <w:sz w:val="32"/>
          <w:szCs w:val="32"/>
        </w:rPr>
        <w:t>罗山县信访局本年收入合计</w:t>
      </w:r>
      <w:r>
        <w:rPr>
          <w:rFonts w:hint="eastAsia" w:ascii="仿宋" w:hAnsi="仿宋" w:eastAsia="仿宋" w:cs="仿宋"/>
          <w:sz w:val="32"/>
          <w:szCs w:val="32"/>
          <w:lang w:val="en-US" w:eastAsia="zh-CN"/>
        </w:rPr>
        <w:t>275.6</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275.6</w:t>
      </w:r>
      <w:r>
        <w:rPr>
          <w:rFonts w:hint="eastAsia" w:ascii="仿宋" w:hAnsi="仿宋" w:eastAsia="仿宋" w:cs="仿宋"/>
          <w:sz w:val="32"/>
          <w:szCs w:val="32"/>
        </w:rPr>
        <w:t>万元，占100%.</w:t>
      </w:r>
    </w:p>
    <w:p>
      <w:pPr>
        <w:adjustRightInd w:val="0"/>
        <w:snapToGrid w:val="0"/>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三、支出决算情况说明</w:t>
      </w:r>
    </w:p>
    <w:p>
      <w:pPr>
        <w:adjustRightInd w:val="0"/>
        <w:snapToGrid w:val="0"/>
        <w:spacing w:line="50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eastAsia="zh-CN"/>
        </w:rPr>
        <w:t>度，</w:t>
      </w:r>
      <w:r>
        <w:rPr>
          <w:rFonts w:hint="eastAsia" w:ascii="仿宋" w:hAnsi="仿宋" w:eastAsia="仿宋" w:cs="仿宋"/>
          <w:sz w:val="32"/>
          <w:szCs w:val="32"/>
        </w:rPr>
        <w:t>罗山县信访局本年支出合计</w:t>
      </w:r>
      <w:r>
        <w:rPr>
          <w:rFonts w:hint="eastAsia" w:ascii="仿宋" w:hAnsi="仿宋" w:eastAsia="仿宋" w:cs="仿宋"/>
          <w:sz w:val="32"/>
          <w:szCs w:val="32"/>
          <w:lang w:val="en-US" w:eastAsia="zh-CN"/>
        </w:rPr>
        <w:t>275.6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275.6</w:t>
      </w:r>
      <w:r>
        <w:rPr>
          <w:rFonts w:hint="eastAsia" w:ascii="仿宋" w:hAnsi="仿宋" w:eastAsia="仿宋" w:cs="仿宋"/>
          <w:sz w:val="32"/>
          <w:szCs w:val="32"/>
        </w:rPr>
        <w:t>万元，占100%。</w:t>
      </w:r>
    </w:p>
    <w:p>
      <w:pPr>
        <w:adjustRightInd w:val="0"/>
        <w:snapToGrid w:val="0"/>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四、财政拨款收入支出决算总体情况说明</w:t>
      </w:r>
    </w:p>
    <w:p>
      <w:pPr>
        <w:adjustRightInd w:val="0"/>
        <w:snapToGrid w:val="0"/>
        <w:spacing w:line="500" w:lineRule="exact"/>
        <w:ind w:firstLine="640"/>
        <w:rPr>
          <w:rFonts w:hint="default" w:ascii="仿宋" w:hAnsi="仿宋" w:eastAsia="仿宋" w:cs="仿宋"/>
          <w:sz w:val="32"/>
          <w:szCs w:val="32"/>
          <w:lang w:val="en-US"/>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年财政拨款收支总决算</w:t>
      </w:r>
      <w:r>
        <w:rPr>
          <w:rFonts w:hint="eastAsia" w:ascii="仿宋" w:hAnsi="仿宋" w:eastAsia="仿宋" w:cs="仿宋"/>
          <w:sz w:val="32"/>
          <w:szCs w:val="32"/>
          <w:lang w:val="en-US" w:eastAsia="zh-CN"/>
        </w:rPr>
        <w:t>275.6</w:t>
      </w:r>
      <w:r>
        <w:rPr>
          <w:rFonts w:hint="eastAsia" w:ascii="仿宋" w:hAnsi="仿宋" w:eastAsia="仿宋" w:cs="仿宋"/>
          <w:sz w:val="32"/>
          <w:szCs w:val="32"/>
        </w:rPr>
        <w:t>万元。与 20</w:t>
      </w:r>
      <w:r>
        <w:rPr>
          <w:rFonts w:hint="eastAsia" w:ascii="仿宋" w:hAnsi="仿宋" w:eastAsia="仿宋" w:cs="仿宋"/>
          <w:sz w:val="32"/>
          <w:szCs w:val="32"/>
          <w:lang w:val="en-US" w:eastAsia="zh-CN"/>
        </w:rPr>
        <w:t>21</w:t>
      </w:r>
      <w:r>
        <w:rPr>
          <w:rFonts w:hint="eastAsia" w:ascii="仿宋" w:hAnsi="仿宋" w:eastAsia="仿宋" w:cs="仿宋"/>
          <w:sz w:val="32"/>
          <w:szCs w:val="32"/>
        </w:rPr>
        <w:t>年相比，财政拨款收、支总计各</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17.7</w:t>
      </w:r>
      <w:r>
        <w:rPr>
          <w:rFonts w:hint="eastAsia" w:ascii="仿宋" w:hAnsi="仿宋" w:eastAsia="仿宋" w:cs="仿宋"/>
          <w:sz w:val="32"/>
          <w:szCs w:val="32"/>
        </w:rPr>
        <w:t>万元，</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6.8</w:t>
      </w:r>
      <w:r>
        <w:rPr>
          <w:rFonts w:hint="eastAsia" w:ascii="仿宋" w:hAnsi="仿宋" w:eastAsia="仿宋" w:cs="仿宋"/>
          <w:sz w:val="32"/>
          <w:szCs w:val="32"/>
        </w:rPr>
        <w:t xml:space="preserve"> %</w:t>
      </w:r>
      <w:r>
        <w:rPr>
          <w:rFonts w:hint="eastAsia" w:ascii="仿宋" w:hAnsi="仿宋" w:eastAsia="仿宋" w:cs="仿宋"/>
          <w:sz w:val="32"/>
          <w:szCs w:val="32"/>
          <w:lang w:eastAsia="zh-CN"/>
        </w:rPr>
        <w:t>。主要原因：因工作需要，</w:t>
      </w:r>
      <w:r>
        <w:rPr>
          <w:rFonts w:hint="eastAsia" w:ascii="仿宋" w:hAnsi="仿宋" w:eastAsia="仿宋" w:cs="仿宋"/>
          <w:sz w:val="32"/>
          <w:szCs w:val="32"/>
          <w:lang w:val="en-US" w:eastAsia="zh-CN"/>
        </w:rPr>
        <w:t>2022年度增加部分工作经费。</w:t>
      </w:r>
    </w:p>
    <w:p>
      <w:pPr>
        <w:adjustRightInd w:val="0"/>
        <w:snapToGrid w:val="0"/>
        <w:spacing w:line="500" w:lineRule="exact"/>
        <w:ind w:firstLine="640"/>
        <w:rPr>
          <w:rFonts w:ascii="仿宋" w:hAnsi="仿宋" w:eastAsia="仿宋" w:cs="仿宋"/>
          <w:b/>
          <w:bCs/>
          <w:sz w:val="32"/>
          <w:szCs w:val="32"/>
        </w:rPr>
      </w:pPr>
      <w:r>
        <w:rPr>
          <w:rFonts w:hint="eastAsia" w:ascii="仿宋" w:hAnsi="仿宋" w:eastAsia="仿宋" w:cs="仿宋"/>
          <w:b/>
          <w:bCs/>
          <w:sz w:val="32"/>
          <w:szCs w:val="32"/>
        </w:rPr>
        <w:t>五、一般公共预算财政拨款支出决算情况说明</w:t>
      </w:r>
    </w:p>
    <w:p>
      <w:pPr>
        <w:adjustRightInd w:val="0"/>
        <w:snapToGrid w:val="0"/>
        <w:spacing w:line="500" w:lineRule="exact"/>
        <w:ind w:firstLine="640"/>
        <w:rPr>
          <w:rFonts w:hint="eastAsia" w:ascii="仿宋" w:hAnsi="仿宋" w:eastAsia="仿宋" w:cs="仿宋"/>
          <w:sz w:val="32"/>
          <w:szCs w:val="32"/>
        </w:rPr>
      </w:pPr>
      <w:r>
        <w:rPr>
          <w:rFonts w:hint="eastAsia" w:ascii="仿宋" w:hAnsi="仿宋" w:eastAsia="仿宋" w:cs="仿宋"/>
          <w:b/>
          <w:bCs/>
          <w:sz w:val="32"/>
          <w:szCs w:val="32"/>
        </w:rPr>
        <w:t>（一）总体情况</w:t>
      </w:r>
    </w:p>
    <w:p>
      <w:pPr>
        <w:adjustRightInd w:val="0"/>
        <w:snapToGrid w:val="0"/>
        <w:spacing w:line="500" w:lineRule="exact"/>
        <w:ind w:firstLine="640"/>
        <w:rPr>
          <w:rFonts w:hint="default" w:ascii="仿宋" w:hAnsi="仿宋" w:eastAsia="仿宋" w:cs="仿宋"/>
          <w:sz w:val="32"/>
          <w:szCs w:val="32"/>
          <w:lang w:val="en-US"/>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eastAsia="zh-CN"/>
        </w:rPr>
        <w:t>，</w:t>
      </w:r>
      <w:r>
        <w:rPr>
          <w:rFonts w:hint="eastAsia" w:ascii="仿宋" w:hAnsi="仿宋" w:eastAsia="仿宋" w:cs="仿宋"/>
          <w:sz w:val="32"/>
          <w:szCs w:val="32"/>
        </w:rPr>
        <w:t>罗山县信访局一般公共预算财政拨款支出</w:t>
      </w:r>
      <w:r>
        <w:rPr>
          <w:rFonts w:hint="eastAsia" w:ascii="仿宋" w:hAnsi="仿宋" w:eastAsia="仿宋" w:cs="仿宋"/>
          <w:sz w:val="32"/>
          <w:szCs w:val="32"/>
          <w:lang w:val="en-US" w:eastAsia="zh-CN"/>
        </w:rPr>
        <w:t>275.6</w:t>
      </w:r>
      <w:r>
        <w:rPr>
          <w:rFonts w:hint="eastAsia" w:ascii="仿宋" w:hAnsi="仿宋" w:eastAsia="仿宋" w:cs="仿宋"/>
          <w:sz w:val="32"/>
          <w:szCs w:val="32"/>
        </w:rPr>
        <w:t>万元，占本年支出合计的100%。与上年度相比，一般公共预算财政拨款支出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17.7</w:t>
      </w:r>
      <w:r>
        <w:rPr>
          <w:rFonts w:hint="eastAsia" w:ascii="仿宋" w:hAnsi="仿宋" w:eastAsia="仿宋" w:cs="仿宋"/>
          <w:sz w:val="32"/>
          <w:szCs w:val="32"/>
        </w:rPr>
        <w:t>万元，</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6.8</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：因工作需要，</w:t>
      </w:r>
      <w:r>
        <w:rPr>
          <w:rFonts w:hint="eastAsia" w:ascii="仿宋" w:hAnsi="仿宋" w:eastAsia="仿宋" w:cs="仿宋"/>
          <w:sz w:val="32"/>
          <w:szCs w:val="32"/>
          <w:lang w:val="en-US" w:eastAsia="zh-CN"/>
        </w:rPr>
        <w:t>2022年度增加部分工作经费。</w:t>
      </w:r>
    </w:p>
    <w:p>
      <w:pPr>
        <w:numPr>
          <w:ilvl w:val="0"/>
          <w:numId w:val="2"/>
        </w:numPr>
        <w:adjustRightInd w:val="0"/>
        <w:snapToGrid w:val="0"/>
        <w:spacing w:line="500" w:lineRule="exact"/>
        <w:ind w:firstLine="640"/>
        <w:rPr>
          <w:rFonts w:hint="eastAsia" w:ascii="仿宋" w:hAnsi="仿宋" w:eastAsia="仿宋" w:cs="仿宋"/>
          <w:b/>
          <w:bCs/>
          <w:sz w:val="32"/>
          <w:szCs w:val="32"/>
        </w:rPr>
      </w:pPr>
      <w:r>
        <w:rPr>
          <w:rFonts w:hint="eastAsia" w:ascii="仿宋" w:hAnsi="仿宋" w:eastAsia="仿宋" w:cs="仿宋"/>
          <w:b/>
          <w:bCs/>
          <w:sz w:val="32"/>
          <w:szCs w:val="32"/>
        </w:rPr>
        <w:t>结构情况</w:t>
      </w:r>
    </w:p>
    <w:p>
      <w:pPr>
        <w:numPr>
          <w:ilvl w:val="0"/>
          <w:numId w:val="0"/>
        </w:numPr>
        <w:adjustRightInd w:val="0"/>
        <w:snapToGri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val="en-US" w:eastAsia="zh-CN"/>
        </w:rPr>
        <w:t>,</w:t>
      </w:r>
      <w:r>
        <w:rPr>
          <w:rFonts w:hint="eastAsia" w:ascii="仿宋" w:hAnsi="仿宋" w:eastAsia="仿宋" w:cs="仿宋"/>
          <w:sz w:val="32"/>
          <w:szCs w:val="32"/>
        </w:rPr>
        <w:t>一般公共预算财政拨款支出</w:t>
      </w:r>
      <w:r>
        <w:rPr>
          <w:rFonts w:hint="eastAsia" w:ascii="仿宋" w:hAnsi="仿宋" w:eastAsia="仿宋" w:cs="仿宋"/>
          <w:sz w:val="32"/>
          <w:szCs w:val="32"/>
          <w:lang w:val="en-US" w:eastAsia="zh-CN"/>
        </w:rPr>
        <w:t>275.6</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245.3</w:t>
      </w:r>
      <w:r>
        <w:rPr>
          <w:rFonts w:hint="eastAsia" w:ascii="仿宋" w:hAnsi="仿宋" w:eastAsia="仿宋" w:cs="仿宋"/>
          <w:sz w:val="32"/>
          <w:szCs w:val="32"/>
        </w:rPr>
        <w:t>万元，占8</w:t>
      </w:r>
      <w:r>
        <w:rPr>
          <w:rFonts w:hint="eastAsia" w:ascii="仿宋" w:hAnsi="仿宋" w:eastAsia="仿宋" w:cs="仿宋"/>
          <w:sz w:val="32"/>
          <w:szCs w:val="32"/>
          <w:lang w:val="en-US" w:eastAsia="zh-CN"/>
        </w:rPr>
        <w:t>9</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14.6</w:t>
      </w:r>
      <w:r>
        <w:rPr>
          <w:rFonts w:hint="eastAsia" w:ascii="仿宋" w:hAnsi="仿宋" w:eastAsia="仿宋" w:cs="仿宋"/>
          <w:sz w:val="32"/>
          <w:szCs w:val="32"/>
        </w:rPr>
        <w:t>万元，占</w:t>
      </w:r>
      <w:r>
        <w:rPr>
          <w:rFonts w:hint="eastAsia" w:ascii="仿宋" w:hAnsi="仿宋" w:eastAsia="仿宋" w:cs="仿宋"/>
          <w:sz w:val="32"/>
          <w:szCs w:val="32"/>
          <w:lang w:val="en-US" w:eastAsia="zh-CN"/>
        </w:rPr>
        <w:t>5.3</w:t>
      </w:r>
      <w:r>
        <w:rPr>
          <w:rFonts w:hint="eastAsia" w:ascii="仿宋" w:hAnsi="仿宋" w:eastAsia="仿宋" w:cs="仿宋"/>
          <w:sz w:val="32"/>
          <w:szCs w:val="32"/>
        </w:rPr>
        <w:t>%；医疗卫生与计划生育支出</w:t>
      </w:r>
      <w:r>
        <w:rPr>
          <w:rFonts w:hint="eastAsia" w:ascii="仿宋" w:hAnsi="仿宋" w:eastAsia="仿宋" w:cs="仿宋"/>
          <w:sz w:val="32"/>
          <w:szCs w:val="32"/>
          <w:lang w:val="en-US" w:eastAsia="zh-CN"/>
        </w:rPr>
        <w:t>5.8</w:t>
      </w:r>
      <w:r>
        <w:rPr>
          <w:rFonts w:hint="eastAsia" w:ascii="仿宋" w:hAnsi="仿宋" w:eastAsia="仿宋" w:cs="仿宋"/>
          <w:sz w:val="32"/>
          <w:szCs w:val="32"/>
        </w:rPr>
        <w:t>万元，占</w:t>
      </w:r>
      <w:r>
        <w:rPr>
          <w:rFonts w:hint="eastAsia" w:ascii="仿宋" w:hAnsi="仿宋" w:eastAsia="仿宋" w:cs="仿宋"/>
          <w:sz w:val="32"/>
          <w:szCs w:val="32"/>
          <w:lang w:val="en-US" w:eastAsia="zh-CN"/>
        </w:rPr>
        <w:t>2.1</w:t>
      </w:r>
      <w:r>
        <w:rPr>
          <w:rFonts w:hint="eastAsia" w:ascii="仿宋" w:hAnsi="仿宋" w:eastAsia="仿宋" w:cs="仿宋"/>
          <w:sz w:val="32"/>
          <w:szCs w:val="32"/>
        </w:rPr>
        <w:t>%；住房公积金支出</w:t>
      </w:r>
      <w:r>
        <w:rPr>
          <w:rFonts w:hint="eastAsia" w:ascii="仿宋" w:hAnsi="仿宋" w:eastAsia="仿宋" w:cs="仿宋"/>
          <w:sz w:val="32"/>
          <w:szCs w:val="32"/>
          <w:lang w:val="en-US" w:eastAsia="zh-CN"/>
        </w:rPr>
        <w:t>9.9</w:t>
      </w:r>
      <w:r>
        <w:rPr>
          <w:rFonts w:hint="eastAsia" w:ascii="仿宋" w:hAnsi="仿宋" w:eastAsia="仿宋" w:cs="仿宋"/>
          <w:sz w:val="32"/>
          <w:szCs w:val="32"/>
        </w:rPr>
        <w:t>万元，占</w:t>
      </w:r>
      <w:r>
        <w:rPr>
          <w:rFonts w:hint="eastAsia" w:ascii="仿宋" w:hAnsi="仿宋" w:eastAsia="仿宋" w:cs="仿宋"/>
          <w:sz w:val="32"/>
          <w:szCs w:val="32"/>
          <w:lang w:val="en-US" w:eastAsia="zh-CN"/>
        </w:rPr>
        <w:t>3.6</w:t>
      </w:r>
      <w:r>
        <w:rPr>
          <w:rFonts w:hint="eastAsia" w:ascii="仿宋" w:hAnsi="仿宋" w:eastAsia="仿宋" w:cs="仿宋"/>
          <w:sz w:val="32"/>
          <w:szCs w:val="32"/>
        </w:rPr>
        <w:t>%。</w:t>
      </w:r>
    </w:p>
    <w:p>
      <w:pPr>
        <w:adjustRightInd w:val="0"/>
        <w:snapToGrid w:val="0"/>
        <w:spacing w:line="500" w:lineRule="exact"/>
        <w:ind w:firstLine="64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具体情况</w:t>
      </w:r>
    </w:p>
    <w:p>
      <w:pPr>
        <w:adjustRightInd w:val="0"/>
        <w:snapToGrid w:val="0"/>
        <w:spacing w:line="500" w:lineRule="exact"/>
        <w:ind w:firstLine="640"/>
        <w:rPr>
          <w:rFonts w:ascii="仿宋_GB2312" w:hAnsi="仿宋_GB2312" w:cs="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val="en-US" w:eastAsia="zh-CN"/>
        </w:rPr>
        <w:t>,</w:t>
      </w:r>
      <w:r>
        <w:rPr>
          <w:rFonts w:hint="eastAsia" w:ascii="仿宋" w:hAnsi="仿宋" w:eastAsia="仿宋" w:cs="仿宋"/>
          <w:sz w:val="32"/>
          <w:szCs w:val="32"/>
        </w:rPr>
        <w:t>一般公共预算财政拨款支出年初预算为</w:t>
      </w:r>
      <w:r>
        <w:rPr>
          <w:rFonts w:hint="eastAsia" w:ascii="仿宋" w:hAnsi="仿宋" w:eastAsia="仿宋" w:cs="仿宋"/>
          <w:sz w:val="32"/>
          <w:szCs w:val="32"/>
          <w:lang w:val="en-US" w:eastAsia="zh-CN"/>
        </w:rPr>
        <w:t>275.6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275.6</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%。决算数与预算数</w:t>
      </w:r>
      <w:r>
        <w:rPr>
          <w:rFonts w:hint="eastAsia" w:ascii="仿宋" w:hAnsi="仿宋" w:eastAsia="仿宋" w:cs="仿宋"/>
          <w:sz w:val="32"/>
          <w:szCs w:val="32"/>
          <w:lang w:eastAsia="zh-CN"/>
        </w:rPr>
        <w:t>无</w:t>
      </w:r>
      <w:r>
        <w:rPr>
          <w:rFonts w:hint="eastAsia" w:ascii="仿宋" w:hAnsi="仿宋" w:eastAsia="仿宋" w:cs="仿宋"/>
          <w:sz w:val="32"/>
          <w:szCs w:val="32"/>
        </w:rPr>
        <w:t>差异。</w:t>
      </w:r>
    </w:p>
    <w:p>
      <w:pPr>
        <w:widowControl/>
        <w:spacing w:line="5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1、一般公共服务（类）信访事务（款）行政运行（项）。　</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247.1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245.3</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99</w:t>
      </w:r>
      <w:r>
        <w:rPr>
          <w:rFonts w:hint="eastAsia" w:ascii="仿宋" w:hAnsi="仿宋" w:eastAsia="仿宋" w:cs="仿宋"/>
          <w:sz w:val="32"/>
          <w:szCs w:val="32"/>
        </w:rPr>
        <w:t>%。决算数与年初预算数存在差异的主要原因</w:t>
      </w:r>
      <w:r>
        <w:rPr>
          <w:rFonts w:hint="eastAsia" w:ascii="仿宋" w:hAnsi="仿宋" w:eastAsia="仿宋" w:cs="仿宋"/>
          <w:sz w:val="32"/>
          <w:szCs w:val="32"/>
          <w:lang w:eastAsia="zh-CN"/>
        </w:rPr>
        <w:t>：少量部分经费未及时拨付</w:t>
      </w:r>
      <w:r>
        <w:rPr>
          <w:rFonts w:hint="eastAsia" w:ascii="仿宋" w:hAnsi="仿宋" w:eastAsia="仿宋" w:cs="仿宋"/>
          <w:sz w:val="32"/>
          <w:szCs w:val="32"/>
        </w:rPr>
        <w:t>。</w:t>
      </w:r>
    </w:p>
    <w:p>
      <w:pPr>
        <w:widowControl/>
        <w:numPr>
          <w:ilvl w:val="0"/>
          <w:numId w:val="0"/>
        </w:numPr>
        <w:spacing w:line="5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社会保障和就业支出（类）行政事业单位离退休（款）机关事业单位基本养老保险缴费支出（项）。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12.01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13.7</w:t>
      </w:r>
      <w:r>
        <w:rPr>
          <w:rFonts w:hint="eastAsia" w:ascii="仿宋" w:hAnsi="仿宋" w:eastAsia="仿宋" w:cs="仿宋"/>
          <w:sz w:val="32"/>
          <w:szCs w:val="32"/>
        </w:rPr>
        <w:t>万元，完成年初预算数的1</w:t>
      </w:r>
      <w:r>
        <w:rPr>
          <w:rFonts w:hint="eastAsia" w:ascii="仿宋" w:hAnsi="仿宋" w:eastAsia="仿宋" w:cs="仿宋"/>
          <w:sz w:val="32"/>
          <w:szCs w:val="32"/>
          <w:lang w:val="en-US" w:eastAsia="zh-CN"/>
        </w:rPr>
        <w:t>14</w:t>
      </w:r>
      <w:r>
        <w:rPr>
          <w:rFonts w:hint="eastAsia" w:ascii="仿宋" w:hAnsi="仿宋" w:eastAsia="仿宋" w:cs="仿宋"/>
          <w:sz w:val="32"/>
          <w:szCs w:val="32"/>
        </w:rPr>
        <w:t>%，决算数与年初预算数差异</w:t>
      </w:r>
      <w:r>
        <w:rPr>
          <w:rFonts w:hint="eastAsia" w:ascii="仿宋" w:hAnsi="仿宋" w:eastAsia="仿宋" w:cs="仿宋"/>
          <w:sz w:val="32"/>
          <w:szCs w:val="32"/>
          <w:lang w:eastAsia="zh-CN"/>
        </w:rPr>
        <w:t>的原因为下半年缴费基数调整</w:t>
      </w:r>
      <w:r>
        <w:rPr>
          <w:rFonts w:hint="eastAsia" w:ascii="仿宋" w:hAnsi="仿宋" w:eastAsia="仿宋" w:cs="仿宋"/>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3、社会保障和就业支出（类）抚恤（款）死亡抚恤（项）。</w:t>
      </w:r>
      <w:r>
        <w:rPr>
          <w:rFonts w:hint="eastAsia" w:ascii="仿宋" w:hAnsi="仿宋" w:eastAsia="仿宋" w:cs="仿宋"/>
          <w:sz w:val="32"/>
          <w:szCs w:val="32"/>
        </w:rPr>
        <w:t>年初预算为</w:t>
      </w:r>
      <w:r>
        <w:rPr>
          <w:rFonts w:hint="eastAsia" w:ascii="仿宋" w:hAnsi="仿宋" w:eastAsia="仿宋" w:cs="仿宋"/>
          <w:sz w:val="32"/>
          <w:szCs w:val="32"/>
          <w:lang w:val="en-US" w:eastAsia="zh-CN"/>
        </w:rPr>
        <w:t>0.9</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0.9</w:t>
      </w:r>
      <w:r>
        <w:rPr>
          <w:rFonts w:hint="eastAsia" w:ascii="仿宋" w:hAnsi="仿宋" w:eastAsia="仿宋" w:cs="仿宋"/>
          <w:sz w:val="32"/>
          <w:szCs w:val="32"/>
        </w:rPr>
        <w:t>万元，完成年初预算数的</w:t>
      </w:r>
      <w:r>
        <w:rPr>
          <w:rFonts w:hint="eastAsia" w:ascii="仿宋" w:hAnsi="仿宋" w:eastAsia="仿宋" w:cs="仿宋"/>
          <w:sz w:val="32"/>
          <w:szCs w:val="32"/>
          <w:lang w:val="en-US" w:eastAsia="zh-CN"/>
        </w:rPr>
        <w:t>100</w:t>
      </w:r>
      <w:r>
        <w:rPr>
          <w:rFonts w:hint="eastAsia" w:ascii="仿宋" w:hAnsi="仿宋" w:eastAsia="仿宋" w:cs="仿宋"/>
          <w:sz w:val="32"/>
          <w:szCs w:val="32"/>
        </w:rPr>
        <w:t>%，决算数与年初预算数</w:t>
      </w:r>
      <w:r>
        <w:rPr>
          <w:rFonts w:hint="eastAsia" w:ascii="仿宋" w:hAnsi="仿宋" w:eastAsia="仿宋" w:cs="仿宋"/>
          <w:sz w:val="32"/>
          <w:szCs w:val="32"/>
          <w:lang w:eastAsia="zh-CN"/>
        </w:rPr>
        <w:t>无</w:t>
      </w:r>
      <w:r>
        <w:rPr>
          <w:rFonts w:hint="eastAsia" w:ascii="仿宋" w:hAnsi="仿宋" w:eastAsia="仿宋" w:cs="仿宋"/>
          <w:sz w:val="32"/>
          <w:szCs w:val="32"/>
        </w:rPr>
        <w:t>差异。</w:t>
      </w:r>
    </w:p>
    <w:p>
      <w:pPr>
        <w:widowControl/>
        <w:numPr>
          <w:ilvl w:val="0"/>
          <w:numId w:val="0"/>
        </w:numPr>
        <w:spacing w:line="50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4、医疗卫生与计划生育支出（类）行政事业单位医疗（款）行政单位医疗（项）。</w:t>
      </w:r>
      <w:r>
        <w:rPr>
          <w:rFonts w:hint="eastAsia" w:ascii="仿宋" w:hAnsi="仿宋" w:eastAsia="仿宋" w:cs="仿宋"/>
          <w:sz w:val="32"/>
          <w:szCs w:val="32"/>
          <w:lang w:val="en-US" w:eastAsia="zh-CN"/>
        </w:rPr>
        <w:t>年初预算为6.26万元，支出决算为5.8</w:t>
      </w:r>
      <w:r>
        <w:rPr>
          <w:rFonts w:hint="eastAsia" w:ascii="仿宋" w:hAnsi="仿宋" w:eastAsia="仿宋" w:cs="仿宋"/>
          <w:sz w:val="32"/>
          <w:szCs w:val="32"/>
        </w:rPr>
        <w:t>万元，完成年初预算数的</w:t>
      </w:r>
      <w:r>
        <w:rPr>
          <w:rFonts w:hint="eastAsia" w:ascii="仿宋" w:hAnsi="仿宋" w:eastAsia="仿宋" w:cs="仿宋"/>
          <w:sz w:val="32"/>
          <w:szCs w:val="32"/>
          <w:lang w:val="en-US" w:eastAsia="zh-CN"/>
        </w:rPr>
        <w:t>93</w:t>
      </w:r>
      <w:r>
        <w:rPr>
          <w:rFonts w:hint="eastAsia" w:ascii="仿宋" w:hAnsi="仿宋" w:eastAsia="仿宋" w:cs="仿宋"/>
          <w:sz w:val="32"/>
          <w:szCs w:val="32"/>
        </w:rPr>
        <w:t>%，决算数与年初预算数差异的原因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2022年10月单位辞职1人，缴费减少</w:t>
      </w:r>
      <w:r>
        <w:rPr>
          <w:rFonts w:hint="eastAsia" w:ascii="仿宋" w:hAnsi="仿宋" w:eastAsia="仿宋" w:cs="仿宋"/>
          <w:sz w:val="32"/>
          <w:szCs w:val="32"/>
        </w:rPr>
        <w:t>。</w:t>
      </w:r>
    </w:p>
    <w:p>
      <w:pPr>
        <w:widowControl/>
        <w:numPr>
          <w:ilvl w:val="0"/>
          <w:numId w:val="0"/>
        </w:numPr>
        <w:spacing w:line="50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5、住房保障支出（类）住房改革支出（款）住房公积金（项）。</w:t>
      </w:r>
      <w:r>
        <w:rPr>
          <w:rFonts w:hint="eastAsia" w:ascii="仿宋" w:hAnsi="仿宋" w:eastAsia="仿宋" w:cs="仿宋"/>
          <w:sz w:val="32"/>
          <w:szCs w:val="32"/>
          <w:lang w:val="en-US" w:eastAsia="zh-CN"/>
        </w:rPr>
        <w:t>年初预算为9.39万元，支出决算为9.9万元，完成年初预算数的105%，决算数与年初预算数差异：工资晋级后缴费标准增加。</w:t>
      </w:r>
    </w:p>
    <w:p>
      <w:pPr>
        <w:widowControl/>
        <w:numPr>
          <w:ilvl w:val="0"/>
          <w:numId w:val="0"/>
        </w:numPr>
        <w:spacing w:line="500" w:lineRule="exact"/>
        <w:ind w:firstLine="640" w:firstLineChars="200"/>
        <w:rPr>
          <w:rFonts w:hint="eastAsia" w:ascii="仿宋" w:hAnsi="仿宋" w:eastAsia="仿宋" w:cs="仿宋"/>
          <w:sz w:val="32"/>
          <w:szCs w:val="32"/>
          <w:lang w:val="en-US" w:eastAsia="zh-CN"/>
        </w:rPr>
      </w:pPr>
    </w:p>
    <w:p>
      <w:pPr>
        <w:pStyle w:val="3"/>
        <w:kinsoku w:val="0"/>
        <w:overflowPunct w:val="0"/>
        <w:snapToGrid w:val="0"/>
        <w:spacing w:line="500" w:lineRule="exact"/>
        <w:rPr>
          <w:rFonts w:ascii="仿宋" w:hAnsi="仿宋" w:eastAsia="仿宋" w:cs="仿宋"/>
          <w:b/>
          <w:bCs/>
        </w:rPr>
      </w:pPr>
      <w:r>
        <w:rPr>
          <w:rFonts w:hint="eastAsia" w:ascii="仿宋" w:hAnsi="仿宋" w:eastAsia="仿宋" w:cs="仿宋"/>
          <w:b/>
          <w:bCs/>
        </w:rPr>
        <w:t>六、一般公共预算财政拨款基本支出</w:t>
      </w:r>
      <w:r>
        <w:rPr>
          <w:rFonts w:hint="eastAsia" w:ascii="仿宋" w:hAnsi="仿宋" w:eastAsia="仿宋" w:cs="仿宋"/>
          <w:b/>
          <w:bCs/>
          <w:lang w:eastAsia="zh-CN"/>
        </w:rPr>
        <w:t>决</w:t>
      </w:r>
      <w:r>
        <w:rPr>
          <w:rFonts w:hint="eastAsia" w:ascii="仿宋" w:hAnsi="仿宋" w:eastAsia="仿宋" w:cs="仿宋"/>
          <w:b/>
          <w:bCs/>
        </w:rPr>
        <w:t>算情况说明</w:t>
      </w:r>
    </w:p>
    <w:p>
      <w:pPr>
        <w:pStyle w:val="3"/>
        <w:keepNext w:val="0"/>
        <w:keepLines w:val="0"/>
        <w:pageBreakBefore w:val="0"/>
        <w:widowControl w:val="0"/>
        <w:kinsoku w:val="0"/>
        <w:wordWrap/>
        <w:overflowPunct w:val="0"/>
        <w:topLinePunct w:val="0"/>
        <w:autoSpaceDE w:val="0"/>
        <w:autoSpaceDN w:val="0"/>
        <w:bidi w:val="0"/>
        <w:adjustRightInd w:val="0"/>
        <w:snapToGrid w:val="0"/>
        <w:spacing w:line="500" w:lineRule="exact"/>
        <w:ind w:left="0" w:leftChars="0" w:right="119" w:firstLine="640" w:firstLineChars="200"/>
        <w:jc w:val="both"/>
        <w:textAlignment w:val="auto"/>
        <w:rPr>
          <w:rFonts w:ascii="仿宋" w:hAnsi="仿宋" w:eastAsia="仿宋" w:cs="仿宋"/>
          <w:kern w:val="2"/>
        </w:rPr>
      </w:pPr>
      <w:r>
        <w:rPr>
          <w:rFonts w:hint="eastAsia" w:ascii="仿宋" w:hAnsi="仿宋" w:eastAsia="仿宋" w:cs="仿宋"/>
          <w:kern w:val="2"/>
        </w:rPr>
        <w:t>202</w:t>
      </w:r>
      <w:r>
        <w:rPr>
          <w:rFonts w:hint="eastAsia" w:ascii="仿宋" w:hAnsi="仿宋" w:eastAsia="仿宋" w:cs="仿宋"/>
          <w:kern w:val="2"/>
          <w:lang w:val="en-US" w:eastAsia="zh-CN"/>
        </w:rPr>
        <w:t>2</w:t>
      </w:r>
      <w:r>
        <w:rPr>
          <w:rFonts w:hint="eastAsia" w:ascii="仿宋" w:hAnsi="仿宋" w:eastAsia="仿宋" w:cs="仿宋"/>
          <w:kern w:val="2"/>
        </w:rPr>
        <w:t>年</w:t>
      </w:r>
      <w:r>
        <w:rPr>
          <w:rFonts w:hint="eastAsia" w:ascii="仿宋" w:hAnsi="仿宋" w:eastAsia="仿宋" w:cs="仿宋"/>
          <w:kern w:val="2"/>
          <w:lang w:eastAsia="zh-CN"/>
        </w:rPr>
        <w:t>度，</w:t>
      </w:r>
      <w:r>
        <w:rPr>
          <w:rFonts w:hint="eastAsia" w:ascii="仿宋" w:hAnsi="仿宋" w:eastAsia="仿宋" w:cs="仿宋"/>
        </w:rPr>
        <w:t>罗山县信访</w:t>
      </w:r>
      <w:r>
        <w:rPr>
          <w:rFonts w:hint="eastAsia" w:ascii="仿宋" w:hAnsi="仿宋" w:eastAsia="仿宋" w:cs="仿宋"/>
          <w:kern w:val="2"/>
        </w:rPr>
        <w:t>局一般公共预算财政拨款基本支出</w:t>
      </w:r>
      <w:r>
        <w:rPr>
          <w:rFonts w:hint="eastAsia" w:ascii="仿宋" w:hAnsi="仿宋" w:eastAsia="仿宋" w:cs="仿宋"/>
          <w:kern w:val="2"/>
          <w:lang w:val="en-US" w:eastAsia="zh-CN"/>
        </w:rPr>
        <w:t>275.6</w:t>
      </w:r>
      <w:r>
        <w:rPr>
          <w:rFonts w:hint="eastAsia" w:ascii="仿宋" w:hAnsi="仿宋" w:eastAsia="仿宋" w:cs="仿宋"/>
          <w:kern w:val="2"/>
        </w:rPr>
        <w:t>万元，其中：</w:t>
      </w:r>
      <w:r>
        <w:rPr>
          <w:rFonts w:hint="eastAsia" w:ascii="仿宋" w:hAnsi="仿宋" w:eastAsia="仿宋" w:cs="仿宋"/>
          <w:b/>
          <w:spacing w:val="-1"/>
        </w:rPr>
        <w:t>人员经费</w:t>
      </w:r>
      <w:r>
        <w:rPr>
          <w:rFonts w:hint="eastAsia" w:ascii="仿宋" w:hAnsi="仿宋" w:eastAsia="仿宋" w:cs="仿宋"/>
          <w:spacing w:val="-1"/>
          <w:lang w:val="en-US" w:eastAsia="zh-CN"/>
        </w:rPr>
        <w:t>158.57</w:t>
      </w:r>
      <w:r>
        <w:rPr>
          <w:rFonts w:hint="eastAsia" w:ascii="仿宋" w:hAnsi="仿宋" w:eastAsia="仿宋" w:cs="仿宋"/>
          <w:kern w:val="2"/>
        </w:rPr>
        <w:t>万元，主要包括：基本工资、津贴补贴、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Fonts w:hint="eastAsia" w:ascii="仿宋" w:hAnsi="仿宋" w:eastAsia="仿宋" w:cs="仿宋"/>
          <w:b/>
          <w:spacing w:val="-1"/>
        </w:rPr>
        <w:t>公用经费</w:t>
      </w:r>
      <w:r>
        <w:rPr>
          <w:rFonts w:hint="eastAsia" w:ascii="仿宋" w:hAnsi="仿宋" w:eastAsia="仿宋" w:cs="仿宋"/>
          <w:spacing w:val="-2"/>
          <w:lang w:val="en-US" w:eastAsia="zh-CN"/>
        </w:rPr>
        <w:t>117.03</w:t>
      </w:r>
      <w:r>
        <w:rPr>
          <w:rFonts w:hint="eastAsia" w:ascii="仿宋" w:hAnsi="仿宋" w:eastAsia="仿宋" w:cs="仿宋"/>
          <w:kern w:val="2"/>
        </w:rPr>
        <w:t>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支出、办公设备购置、专用设备购置、大型修缮、信息网络及软件购置更新、其他资本性支出及信访疑难专项补助资金支出。</w:t>
      </w:r>
    </w:p>
    <w:p>
      <w:pPr>
        <w:pStyle w:val="3"/>
        <w:numPr>
          <w:ilvl w:val="0"/>
          <w:numId w:val="3"/>
        </w:numPr>
        <w:kinsoku w:val="0"/>
        <w:overflowPunct w:val="0"/>
        <w:snapToGrid w:val="0"/>
        <w:spacing w:line="500" w:lineRule="exact"/>
        <w:ind w:left="0" w:firstLine="643" w:firstLineChars="200"/>
        <w:jc w:val="both"/>
        <w:rPr>
          <w:rFonts w:ascii="仿宋" w:hAnsi="仿宋" w:eastAsia="仿宋" w:cs="仿宋"/>
          <w:b/>
          <w:bCs/>
        </w:rPr>
      </w:pPr>
      <w:r>
        <w:rPr>
          <w:rFonts w:hint="eastAsia" w:ascii="仿宋" w:hAnsi="仿宋" w:eastAsia="仿宋" w:cs="仿宋"/>
          <w:b/>
          <w:bCs/>
        </w:rPr>
        <w:t>一般公共预算财政拨款“三公”经费支出预算情况说明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pStyle w:val="3"/>
        <w:keepNext w:val="0"/>
        <w:keepLines w:val="0"/>
        <w:pageBreakBefore w:val="0"/>
        <w:kinsoku w:val="0"/>
        <w:wordWrap/>
        <w:overflowPunct w:val="0"/>
        <w:topLinePunct w:val="0"/>
        <w:bidi w:val="0"/>
        <w:snapToGrid w:val="0"/>
        <w:spacing w:line="580" w:lineRule="exact"/>
        <w:ind w:left="0" w:leftChars="0" w:right="118" w:firstLine="640" w:firstLineChars="200"/>
        <w:jc w:val="both"/>
        <w:textAlignment w:val="auto"/>
        <w:rPr>
          <w:rFonts w:hint="eastAsia" w:ascii="仿宋" w:hAnsi="仿宋" w:eastAsia="仿宋" w:cs="仿宋"/>
          <w:kern w:val="2"/>
        </w:rPr>
      </w:pPr>
      <w:r>
        <w:rPr>
          <w:rFonts w:hint="eastAsia" w:ascii="仿宋" w:hAnsi="仿宋" w:eastAsia="仿宋" w:cs="仿宋"/>
          <w:kern w:val="2"/>
        </w:rPr>
        <w:t>202</w:t>
      </w:r>
      <w:r>
        <w:rPr>
          <w:rFonts w:hint="eastAsia" w:ascii="仿宋" w:hAnsi="仿宋" w:eastAsia="仿宋" w:cs="仿宋"/>
          <w:kern w:val="2"/>
          <w:lang w:val="en-US" w:eastAsia="zh-CN"/>
        </w:rPr>
        <w:t>2</w:t>
      </w:r>
      <w:r>
        <w:rPr>
          <w:rFonts w:hint="eastAsia" w:ascii="仿宋" w:hAnsi="仿宋" w:eastAsia="仿宋" w:cs="仿宋"/>
          <w:kern w:val="2"/>
        </w:rPr>
        <w:t>年度</w:t>
      </w:r>
      <w:r>
        <w:rPr>
          <w:rFonts w:hint="eastAsia" w:ascii="仿宋" w:hAnsi="仿宋" w:eastAsia="仿宋" w:cs="仿宋"/>
          <w:kern w:val="2"/>
          <w:lang w:eastAsia="zh-CN"/>
        </w:rPr>
        <w:t>，罗山县信访局</w:t>
      </w:r>
      <w:r>
        <w:rPr>
          <w:rFonts w:hint="eastAsia" w:ascii="仿宋" w:hAnsi="仿宋" w:eastAsia="仿宋" w:cs="仿宋"/>
          <w:kern w:val="2"/>
        </w:rPr>
        <w:t>“三公”经费财政拨款支出预算为2.5万元，支出决算为2</w:t>
      </w:r>
      <w:r>
        <w:rPr>
          <w:rFonts w:hint="eastAsia" w:ascii="仿宋" w:hAnsi="仿宋" w:eastAsia="仿宋" w:cs="仿宋"/>
          <w:kern w:val="2"/>
          <w:lang w:val="en-US" w:eastAsia="zh-CN"/>
        </w:rPr>
        <w:t>.4</w:t>
      </w:r>
      <w:r>
        <w:rPr>
          <w:rFonts w:hint="eastAsia" w:ascii="仿宋" w:hAnsi="仿宋" w:eastAsia="仿宋" w:cs="仿宋"/>
          <w:kern w:val="2"/>
        </w:rPr>
        <w:t>万元，完成预算的</w:t>
      </w:r>
      <w:r>
        <w:rPr>
          <w:rFonts w:hint="eastAsia" w:ascii="仿宋" w:hAnsi="仿宋" w:eastAsia="仿宋" w:cs="仿宋"/>
          <w:kern w:val="2"/>
          <w:lang w:val="en-US" w:eastAsia="zh-CN"/>
        </w:rPr>
        <w:t>96</w:t>
      </w:r>
      <w:r>
        <w:rPr>
          <w:rFonts w:hint="eastAsia" w:ascii="仿宋" w:hAnsi="仿宋" w:eastAsia="仿宋" w:cs="仿宋"/>
          <w:kern w:val="2"/>
        </w:rPr>
        <w:t>%。</w:t>
      </w:r>
      <w:r>
        <w:rPr>
          <w:rFonts w:hint="eastAsia" w:ascii="仿宋_GB2312" w:eastAsia="仿宋_GB2312"/>
          <w:sz w:val="32"/>
          <w:szCs w:val="32"/>
        </w:rPr>
        <w:t>经费支出决算数与预算数存在差异的主要原因是</w:t>
      </w:r>
      <w:r>
        <w:rPr>
          <w:rFonts w:hint="eastAsia" w:ascii="仿宋" w:hAnsi="仿宋" w:eastAsia="仿宋" w:cs="仿宋"/>
          <w:kern w:val="2"/>
        </w:rPr>
        <w:t>：</w:t>
      </w:r>
      <w:r>
        <w:rPr>
          <w:rFonts w:hint="eastAsia" w:ascii="仿宋" w:hAnsi="仿宋" w:eastAsia="仿宋" w:cs="仿宋"/>
          <w:kern w:val="2"/>
          <w:lang w:eastAsia="zh-CN"/>
        </w:rPr>
        <w:t>倡导乘公交车出行，压减公务车经费支出</w:t>
      </w:r>
      <w:r>
        <w:rPr>
          <w:rFonts w:hint="eastAsia" w:ascii="仿宋" w:hAnsi="仿宋" w:eastAsia="仿宋" w:cs="仿宋"/>
          <w:kern w:val="2"/>
        </w:rPr>
        <w:t>。</w:t>
      </w:r>
    </w:p>
    <w:p>
      <w:pPr>
        <w:keepNext w:val="0"/>
        <w:keepLines w:val="0"/>
        <w:pageBreakBefore w:val="0"/>
        <w:widowControl/>
        <w:wordWrap/>
        <w:topLinePunct w:val="0"/>
        <w:bidi w:val="0"/>
        <w:spacing w:line="580" w:lineRule="exact"/>
        <w:ind w:firstLine="643" w:firstLineChars="200"/>
        <w:textAlignment w:val="auto"/>
        <w:outlineLvl w:val="2"/>
        <w:rPr>
          <w:rFonts w:hint="eastAsia" w:ascii="仿宋" w:hAnsi="仿宋" w:eastAsia="仿宋" w:cs="仿宋"/>
          <w:b/>
          <w:bCs/>
          <w:kern w:val="0"/>
          <w:sz w:val="32"/>
          <w:szCs w:val="32"/>
          <w:lang w:val="en-US" w:eastAsia="zh-CN" w:bidi="ar-SA"/>
        </w:rPr>
      </w:pPr>
      <w:r>
        <w:rPr>
          <w:rFonts w:hint="eastAsia" w:ascii="仿宋" w:hAnsi="仿宋" w:eastAsia="仿宋" w:cs="仿宋"/>
          <w:b/>
          <w:bCs/>
          <w:kern w:val="0"/>
          <w:sz w:val="32"/>
          <w:szCs w:val="32"/>
          <w:lang w:val="en-US" w:eastAsia="zh-CN" w:bidi="ar-SA"/>
        </w:rPr>
        <w:t>（二）“三公”经费财政拨款支出决算具体情况说明</w:t>
      </w:r>
    </w:p>
    <w:p>
      <w:pPr>
        <w:keepNext w:val="0"/>
        <w:keepLines w:val="0"/>
        <w:pageBreakBefore w:val="0"/>
        <w:widowControl/>
        <w:wordWrap/>
        <w:topLinePunct w:val="0"/>
        <w:bidi w:val="0"/>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度，罗山县信访局“三公”经费财政拨款支出决算中，因公出国（境）费支出决算0万元，完成预算的0.00%，占0.00%；公务用车购置及运行费支出决算2.4万元，完成预算的96%，占96%；公务接待费支出决算0万元，完成预算的0.00%，占0.00%。具体情况如下：</w:t>
      </w:r>
    </w:p>
    <w:p>
      <w:pPr>
        <w:pStyle w:val="3"/>
        <w:keepNext w:val="0"/>
        <w:keepLines w:val="0"/>
        <w:pageBreakBefore w:val="0"/>
        <w:kinsoku w:val="0"/>
        <w:wordWrap/>
        <w:overflowPunct w:val="0"/>
        <w:topLinePunct w:val="0"/>
        <w:bidi w:val="0"/>
        <w:snapToGrid w:val="0"/>
        <w:spacing w:line="580" w:lineRule="exact"/>
        <w:ind w:left="0" w:firstLine="639" w:firstLineChars="200"/>
        <w:jc w:val="both"/>
        <w:textAlignment w:val="auto"/>
        <w:rPr>
          <w:rFonts w:ascii="仿宋" w:hAnsi="仿宋" w:eastAsia="仿宋" w:cs="仿宋"/>
          <w:kern w:val="2"/>
        </w:rPr>
      </w:pPr>
      <w:r>
        <w:rPr>
          <w:rFonts w:hint="eastAsia" w:ascii="仿宋" w:hAnsi="仿宋" w:eastAsia="仿宋" w:cs="仿宋"/>
          <w:b/>
          <w:spacing w:val="-1"/>
        </w:rPr>
        <w:t>（1）因公出国（境）费</w:t>
      </w:r>
      <w:r>
        <w:rPr>
          <w:rFonts w:hint="eastAsia" w:ascii="仿宋" w:hAnsi="仿宋" w:eastAsia="仿宋" w:cs="仿宋"/>
          <w:spacing w:val="-1"/>
        </w:rPr>
        <w:t xml:space="preserve">  0万元</w:t>
      </w:r>
    </w:p>
    <w:p>
      <w:pPr>
        <w:keepNext w:val="0"/>
        <w:keepLines w:val="0"/>
        <w:pageBreakBefore w:val="0"/>
        <w:widowControl/>
        <w:wordWrap/>
        <w:topLinePunct w:val="0"/>
        <w:bidi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因公出国（境）费年初预算为 0.00万元，支出决算为0.00 万元，完成年初预算的0.00%，</w:t>
      </w:r>
      <w:r>
        <w:rPr>
          <w:rFonts w:hint="eastAsia" w:ascii="仿宋" w:hAnsi="仿宋" w:eastAsia="仿宋" w:cs="仿宋"/>
          <w:sz w:val="32"/>
          <w:szCs w:val="32"/>
        </w:rPr>
        <w:t>决算数与预算数无差异的主要原因是本单位无因公出国事项。</w:t>
      </w:r>
    </w:p>
    <w:p>
      <w:pPr>
        <w:keepNext w:val="0"/>
        <w:keepLines w:val="0"/>
        <w:pageBreakBefore w:val="0"/>
        <w:widowControl/>
        <w:wordWrap/>
        <w:topLinePunct w:val="0"/>
        <w:bidi w:val="0"/>
        <w:spacing w:line="580" w:lineRule="exact"/>
        <w:ind w:firstLine="640" w:firstLineChars="200"/>
        <w:textAlignment w:val="auto"/>
        <w:rPr>
          <w:rFonts w:hint="eastAsia" w:ascii="仿宋" w:hAnsi="仿宋" w:eastAsia="仿宋" w:cs="仿宋"/>
          <w:sz w:val="32"/>
          <w:szCs w:val="32"/>
        </w:rPr>
      </w:pPr>
      <w:r>
        <w:rPr>
          <w:rFonts w:hint="eastAsia" w:ascii="仿宋_GB2312" w:eastAsia="仿宋_GB2312"/>
          <w:sz w:val="32"/>
          <w:szCs w:val="32"/>
        </w:rPr>
        <w:t>因公出国（境）团组数0个，因公出国（境）人次数0人。</w:t>
      </w:r>
    </w:p>
    <w:p>
      <w:pPr>
        <w:pStyle w:val="3"/>
        <w:keepNext w:val="0"/>
        <w:keepLines w:val="0"/>
        <w:pageBreakBefore w:val="0"/>
        <w:kinsoku w:val="0"/>
        <w:wordWrap/>
        <w:overflowPunct w:val="0"/>
        <w:topLinePunct w:val="0"/>
        <w:bidi w:val="0"/>
        <w:snapToGrid w:val="0"/>
        <w:spacing w:line="580" w:lineRule="exact"/>
        <w:ind w:left="0" w:leftChars="0" w:right="118" w:firstLine="643" w:firstLineChars="200"/>
        <w:jc w:val="both"/>
        <w:textAlignment w:val="auto"/>
        <w:rPr>
          <w:rFonts w:ascii="仿宋" w:hAnsi="仿宋" w:eastAsia="仿宋" w:cs="仿宋"/>
          <w:kern w:val="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w:t>
      </w:r>
      <w:r>
        <w:rPr>
          <w:rFonts w:hint="eastAsia" w:ascii="仿宋_GB2312" w:eastAsia="仿宋_GB2312"/>
          <w:b/>
          <w:bCs/>
          <w:sz w:val="32"/>
          <w:szCs w:val="32"/>
        </w:rPr>
        <w:t>公务用车购置及运行费</w:t>
      </w:r>
      <w:r>
        <w:rPr>
          <w:rFonts w:hint="eastAsia" w:ascii="仿宋_GB2312" w:eastAsia="仿宋_GB2312"/>
          <w:sz w:val="32"/>
          <w:szCs w:val="32"/>
        </w:rPr>
        <w:t>年初预算为</w:t>
      </w:r>
      <w:r>
        <w:rPr>
          <w:rFonts w:hint="eastAsia"/>
          <w:sz w:val="32"/>
          <w:szCs w:val="32"/>
          <w:lang w:val="en-US" w:eastAsia="zh-CN"/>
        </w:rPr>
        <w:t>2.5</w:t>
      </w:r>
      <w:r>
        <w:rPr>
          <w:rFonts w:hint="eastAsia" w:ascii="仿宋_GB2312" w:eastAsia="仿宋_GB2312"/>
          <w:sz w:val="32"/>
          <w:szCs w:val="32"/>
        </w:rPr>
        <w:t>万元，支出决算为</w:t>
      </w:r>
      <w:r>
        <w:rPr>
          <w:rFonts w:hint="eastAsia"/>
          <w:sz w:val="32"/>
          <w:szCs w:val="32"/>
          <w:lang w:val="en-US" w:eastAsia="zh-CN"/>
        </w:rPr>
        <w:t>2.4</w:t>
      </w:r>
      <w:r>
        <w:rPr>
          <w:rFonts w:hint="eastAsia" w:ascii="仿宋_GB2312" w:eastAsia="仿宋_GB2312"/>
          <w:sz w:val="32"/>
          <w:szCs w:val="32"/>
        </w:rPr>
        <w:t>万元，完成年初预算的</w:t>
      </w:r>
      <w:r>
        <w:rPr>
          <w:rFonts w:hint="eastAsia"/>
          <w:sz w:val="32"/>
          <w:szCs w:val="32"/>
          <w:lang w:val="en-US" w:eastAsia="zh-CN"/>
        </w:rPr>
        <w:t>96</w:t>
      </w:r>
      <w:r>
        <w:rPr>
          <w:rFonts w:hint="eastAsia" w:ascii="仿宋_GB2312" w:eastAsia="仿宋_GB2312"/>
          <w:sz w:val="32"/>
          <w:szCs w:val="32"/>
        </w:rPr>
        <w:t>%，决算数与年初预算数存在差异的主要原因</w:t>
      </w:r>
      <w:r>
        <w:rPr>
          <w:rFonts w:hint="eastAsia" w:ascii="仿宋" w:hAnsi="仿宋" w:eastAsia="仿宋" w:cs="仿宋"/>
          <w:kern w:val="2"/>
          <w:lang w:eastAsia="zh-CN"/>
        </w:rPr>
        <w:t>倡导乘公交车出行，压减公务车经费支出</w:t>
      </w:r>
      <w:r>
        <w:rPr>
          <w:rFonts w:hint="eastAsia" w:ascii="仿宋" w:hAnsi="仿宋" w:eastAsia="仿宋" w:cs="仿宋"/>
          <w:kern w:val="2"/>
        </w:rPr>
        <w:t>。</w:t>
      </w:r>
      <w:r>
        <w:rPr>
          <w:rFonts w:hint="eastAsia" w:ascii="仿宋_GB2312" w:eastAsia="仿宋_GB2312"/>
          <w:sz w:val="32"/>
          <w:szCs w:val="32"/>
        </w:rPr>
        <w:t>其中：</w:t>
      </w:r>
    </w:p>
    <w:p>
      <w:pPr>
        <w:pStyle w:val="3"/>
        <w:keepNext w:val="0"/>
        <w:keepLines w:val="0"/>
        <w:pageBreakBefore w:val="0"/>
        <w:numPr>
          <w:ilvl w:val="0"/>
          <w:numId w:val="0"/>
        </w:numPr>
        <w:kinsoku w:val="0"/>
        <w:wordWrap/>
        <w:overflowPunct w:val="0"/>
        <w:topLinePunct w:val="0"/>
        <w:bidi w:val="0"/>
        <w:snapToGrid w:val="0"/>
        <w:spacing w:line="580" w:lineRule="exact"/>
        <w:ind w:firstLine="643" w:firstLineChars="200"/>
        <w:jc w:val="both"/>
        <w:textAlignment w:val="auto"/>
        <w:rPr>
          <w:rFonts w:hint="eastAsia" w:ascii="仿宋" w:hAnsi="仿宋" w:eastAsia="仿宋" w:cs="仿宋"/>
          <w:kern w:val="2"/>
          <w:sz w:val="32"/>
          <w:szCs w:val="32"/>
          <w:lang w:val="en-US" w:eastAsia="zh-CN" w:bidi="ar-SA"/>
        </w:rPr>
      </w:pPr>
      <w:r>
        <w:rPr>
          <w:rFonts w:hint="eastAsia" w:ascii="仿宋_GB2312" w:eastAsia="仿宋_GB2312"/>
          <w:b/>
          <w:bCs/>
          <w:sz w:val="32"/>
          <w:szCs w:val="32"/>
        </w:rPr>
        <w:t>公务用车购置</w:t>
      </w:r>
      <w:r>
        <w:rPr>
          <w:rFonts w:hint="eastAsia" w:ascii="仿宋_GB2312" w:eastAsia="仿宋_GB2312"/>
          <w:sz w:val="32"/>
          <w:szCs w:val="32"/>
        </w:rPr>
        <w:t>支出</w:t>
      </w:r>
      <w:r>
        <w:rPr>
          <w:rFonts w:hint="eastAsia"/>
          <w:sz w:val="32"/>
          <w:szCs w:val="32"/>
          <w:lang w:val="en-US" w:eastAsia="zh-CN"/>
        </w:rPr>
        <w:t>0万元。</w:t>
      </w:r>
      <w:r>
        <w:rPr>
          <w:rFonts w:hint="eastAsia" w:ascii="仿宋" w:hAnsi="仿宋" w:eastAsia="仿宋" w:cs="仿宋"/>
          <w:b/>
          <w:spacing w:val="-1"/>
          <w:lang w:val="en-US" w:eastAsia="zh-CN"/>
        </w:rPr>
        <w:t xml:space="preserve"> </w:t>
      </w:r>
      <w:r>
        <w:rPr>
          <w:rFonts w:hint="eastAsia" w:ascii="仿宋" w:hAnsi="仿宋" w:eastAsia="仿宋" w:cs="仿宋"/>
          <w:kern w:val="2"/>
          <w:sz w:val="32"/>
          <w:szCs w:val="32"/>
          <w:lang w:val="en-US" w:eastAsia="zh-CN" w:bidi="ar-SA"/>
        </w:rPr>
        <w:t>2022年度无公务用车购置，购置车辆0辆。</w:t>
      </w:r>
    </w:p>
    <w:p>
      <w:pPr>
        <w:pStyle w:val="8"/>
        <w:keepNext w:val="0"/>
        <w:keepLines w:val="0"/>
        <w:pageBreakBefore w:val="0"/>
        <w:shd w:val="clear" w:color="auto" w:fill="FFFFFF"/>
        <w:wordWrap/>
        <w:topLinePunct w:val="0"/>
        <w:bidi w:val="0"/>
        <w:spacing w:before="0" w:beforeAutospacing="0" w:after="0" w:afterAutospacing="0" w:line="580" w:lineRule="exact"/>
        <w:ind w:firstLine="643" w:firstLineChars="200"/>
        <w:textAlignment w:val="auto"/>
        <w:rPr>
          <w:rFonts w:ascii="仿宋_GB2312" w:eastAsia="仿宋_GB2312"/>
          <w:sz w:val="32"/>
          <w:szCs w:val="32"/>
        </w:rPr>
      </w:pPr>
      <w:r>
        <w:rPr>
          <w:rFonts w:hint="eastAsia" w:ascii="仿宋_GB2312" w:hAnsi="Calibri" w:eastAsia="仿宋_GB2312" w:cs="仿宋_GB2312"/>
          <w:b/>
          <w:bCs/>
          <w:kern w:val="0"/>
          <w:sz w:val="32"/>
          <w:szCs w:val="32"/>
          <w:lang w:val="en-US" w:eastAsia="zh-CN" w:bidi="ar-SA"/>
        </w:rPr>
        <w:t>公务用车运行</w:t>
      </w:r>
      <w:r>
        <w:rPr>
          <w:rFonts w:hint="eastAsia" w:ascii="仿宋_GB2312" w:hAnsi="Calibri" w:eastAsia="仿宋_GB2312" w:cs="仿宋_GB2312"/>
          <w:kern w:val="0"/>
          <w:sz w:val="32"/>
          <w:szCs w:val="32"/>
          <w:lang w:val="en-US" w:eastAsia="zh-CN" w:bidi="ar-SA"/>
        </w:rPr>
        <w:t>支出2.</w:t>
      </w:r>
      <w:r>
        <w:rPr>
          <w:rFonts w:hint="eastAsia" w:ascii="仿宋_GB2312" w:eastAsia="仿宋_GB2312" w:cs="仿宋_GB2312"/>
          <w:kern w:val="0"/>
          <w:sz w:val="32"/>
          <w:szCs w:val="32"/>
          <w:lang w:val="en-US" w:eastAsia="zh-CN" w:bidi="ar-SA"/>
        </w:rPr>
        <w:t>4</w:t>
      </w:r>
      <w:r>
        <w:rPr>
          <w:rFonts w:hint="eastAsia" w:ascii="仿宋_GB2312" w:hAnsi="Calibri" w:eastAsia="仿宋_GB2312" w:cs="仿宋_GB2312"/>
          <w:kern w:val="0"/>
          <w:sz w:val="32"/>
          <w:szCs w:val="32"/>
          <w:lang w:val="en-US" w:eastAsia="zh-CN" w:bidi="ar-SA"/>
        </w:rPr>
        <w:t>万元</w:t>
      </w:r>
      <w:r>
        <w:rPr>
          <w:rFonts w:hint="eastAsia" w:ascii="仿宋_GB2312" w:eastAsia="仿宋_GB2312" w:cs="仿宋_GB2312"/>
          <w:kern w:val="0"/>
          <w:sz w:val="32"/>
          <w:szCs w:val="32"/>
          <w:lang w:val="en-US" w:eastAsia="zh-CN" w:bidi="ar-SA"/>
        </w:rPr>
        <w:t>。</w:t>
      </w:r>
      <w:r>
        <w:rPr>
          <w:rFonts w:hint="eastAsia" w:ascii="仿宋_GB2312" w:eastAsia="仿宋_GB2312"/>
          <w:sz w:val="32"/>
          <w:szCs w:val="32"/>
        </w:rPr>
        <w:t>主要用于开展工作所需公务用车的燃料费、维修</w:t>
      </w:r>
      <w:r>
        <w:rPr>
          <w:rFonts w:hint="eastAsia" w:ascii="仿宋_GB2312" w:eastAsia="仿宋_GB2312"/>
          <w:sz w:val="32"/>
          <w:szCs w:val="32"/>
          <w:lang w:eastAsia="zh-CN"/>
        </w:rPr>
        <w:t>保养</w:t>
      </w:r>
      <w:r>
        <w:rPr>
          <w:rFonts w:hint="eastAsia" w:ascii="仿宋_GB2312" w:eastAsia="仿宋_GB2312"/>
          <w:sz w:val="32"/>
          <w:szCs w:val="32"/>
        </w:rPr>
        <w:t>费、过路过桥费、保险费等费用支出。202</w:t>
      </w:r>
      <w:r>
        <w:rPr>
          <w:rFonts w:hint="eastAsia" w:ascii="仿宋_GB2312" w:eastAsia="仿宋_GB2312"/>
          <w:sz w:val="32"/>
          <w:szCs w:val="32"/>
          <w:lang w:val="en-US" w:eastAsia="zh-CN"/>
        </w:rPr>
        <w:t>2</w:t>
      </w:r>
      <w:r>
        <w:rPr>
          <w:rFonts w:hint="eastAsia" w:ascii="仿宋_GB2312" w:eastAsia="仿宋_GB2312"/>
          <w:sz w:val="32"/>
          <w:szCs w:val="32"/>
        </w:rPr>
        <w:t>年期末，单位开支财政拨款的公务用车保有量为</w:t>
      </w:r>
      <w:r>
        <w:rPr>
          <w:rFonts w:hint="eastAsia" w:ascii="仿宋_GB2312" w:eastAsia="仿宋_GB2312"/>
          <w:sz w:val="32"/>
          <w:szCs w:val="32"/>
          <w:lang w:val="en-US" w:eastAsia="zh-CN"/>
        </w:rPr>
        <w:t>1</w:t>
      </w:r>
      <w:r>
        <w:rPr>
          <w:rFonts w:hint="eastAsia" w:ascii="仿宋_GB2312" w:eastAsia="仿宋_GB2312"/>
          <w:sz w:val="32"/>
          <w:szCs w:val="32"/>
          <w:lang w:eastAsia="zh-CN"/>
        </w:rPr>
        <w:t>辆</w:t>
      </w:r>
      <w:r>
        <w:rPr>
          <w:rFonts w:hint="eastAsia" w:ascii="仿宋_GB2312" w:eastAsia="仿宋_GB2312"/>
          <w:sz w:val="32"/>
          <w:szCs w:val="32"/>
        </w:rPr>
        <w:t>。</w:t>
      </w:r>
    </w:p>
    <w:p>
      <w:pPr>
        <w:pStyle w:val="8"/>
        <w:keepNext w:val="0"/>
        <w:keepLines w:val="0"/>
        <w:pageBreakBefore w:val="0"/>
        <w:numPr>
          <w:ilvl w:val="0"/>
          <w:numId w:val="2"/>
        </w:numPr>
        <w:shd w:val="clear" w:color="auto" w:fill="FFFFFF"/>
        <w:wordWrap/>
        <w:topLinePunct w:val="0"/>
        <w:bidi w:val="0"/>
        <w:spacing w:before="0" w:beforeAutospacing="0" w:after="0" w:afterAutospacing="0" w:line="580" w:lineRule="exact"/>
        <w:ind w:left="0" w:leftChars="0" w:firstLine="64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b/>
          <w:spacing w:val="-1"/>
          <w:sz w:val="32"/>
          <w:szCs w:val="32"/>
        </w:rPr>
        <w:t>公务接待费</w:t>
      </w:r>
      <w:r>
        <w:rPr>
          <w:rFonts w:hint="eastAsia" w:ascii="仿宋_GB2312" w:eastAsia="仿宋_GB2312"/>
          <w:sz w:val="32"/>
          <w:szCs w:val="32"/>
        </w:rPr>
        <w:t>公务接待费年初预算为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万元，完成年初预算的</w:t>
      </w:r>
      <w:r>
        <w:rPr>
          <w:rFonts w:hint="eastAsia" w:ascii="仿宋_GB2312" w:eastAsia="仿宋_GB2312"/>
          <w:sz w:val="32"/>
          <w:szCs w:val="32"/>
          <w:lang w:val="en-US" w:eastAsia="zh-CN"/>
        </w:rPr>
        <w:t>0.00</w:t>
      </w:r>
      <w:r>
        <w:rPr>
          <w:rFonts w:hint="eastAsia" w:ascii="仿宋_GB2312" w:eastAsia="仿宋_GB2312"/>
          <w:sz w:val="32"/>
          <w:szCs w:val="32"/>
        </w:rPr>
        <w:t>%。</w:t>
      </w:r>
      <w:r>
        <w:rPr>
          <w:rFonts w:hint="eastAsia" w:ascii="仿宋" w:hAnsi="仿宋" w:eastAsia="仿宋" w:cs="仿宋"/>
          <w:kern w:val="2"/>
          <w:sz w:val="32"/>
          <w:szCs w:val="32"/>
          <w:lang w:val="en-US" w:eastAsia="zh-CN" w:bidi="ar-SA"/>
        </w:rPr>
        <w:t>决算数与年初预算数无差异的原因是公务接待由县机关事务管理局统一安排。</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共接待国内来访团组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pStyle w:val="3"/>
        <w:keepNext w:val="0"/>
        <w:keepLines w:val="0"/>
        <w:pageBreakBefore w:val="0"/>
        <w:kinsoku w:val="0"/>
        <w:wordWrap/>
        <w:overflowPunct w:val="0"/>
        <w:topLinePunct w:val="0"/>
        <w:bidi w:val="0"/>
        <w:snapToGrid w:val="0"/>
        <w:spacing w:line="580" w:lineRule="exact"/>
        <w:ind w:left="0" w:firstLine="640" w:firstLineChars="200"/>
        <w:jc w:val="both"/>
        <w:textAlignment w:val="auto"/>
        <w:rPr>
          <w:rFonts w:hint="eastAsia" w:ascii="仿宋" w:hAnsi="仿宋" w:eastAsia="仿宋" w:cs="仿宋"/>
          <w:b/>
          <w:bCs/>
        </w:rPr>
      </w:pPr>
      <w:r>
        <w:rPr>
          <w:rFonts w:hint="eastAsia" w:ascii="仿宋_GB2312" w:hAnsi="仿宋_GB2312" w:eastAsia="仿宋_GB2312" w:cs="仿宋_GB2312"/>
          <w:sz w:val="32"/>
          <w:szCs w:val="32"/>
          <w:lang w:eastAsia="zh-CN"/>
        </w:rPr>
        <w:t>202</w:t>
      </w:r>
      <w:r>
        <w:rPr>
          <w:rFonts w:hint="eastAsia" w:hAnsi="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度</w:t>
      </w:r>
      <w:r>
        <w:rPr>
          <w:rFonts w:hint="eastAsia" w:hAnsi="仿宋_GB2312" w:cs="仿宋_GB2312"/>
          <w:sz w:val="32"/>
          <w:szCs w:val="32"/>
          <w:lang w:eastAsia="zh-CN"/>
        </w:rPr>
        <w:t>，罗山县信访局</w:t>
      </w:r>
      <w:r>
        <w:rPr>
          <w:rFonts w:hint="eastAsia" w:ascii="仿宋_GB2312" w:hAnsi="仿宋_GB2312" w:eastAsia="仿宋_GB2312" w:cs="仿宋_GB2312"/>
          <w:sz w:val="32"/>
          <w:szCs w:val="32"/>
        </w:rPr>
        <w:t>政府性基金预算财政拨款支出年初预算为</w:t>
      </w:r>
      <w:r>
        <w:rPr>
          <w:rFonts w:hint="eastAsia" w:hAnsi="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hAnsi="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hAnsi="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2"/>
        <w:rPr>
          <w:rFonts w:hint="default" w:ascii="黑体" w:hAnsi="黑体" w:eastAsia="黑体" w:cs="黑体"/>
          <w:sz w:val="32"/>
          <w:szCs w:val="32"/>
          <w:lang w:val="en-US"/>
        </w:rPr>
      </w:pPr>
      <w:r>
        <w:rPr>
          <w:rFonts w:hint="eastAsia" w:ascii="黑体" w:hAnsi="黑体" w:eastAsia="黑体" w:cs="黑体"/>
          <w:sz w:val="32"/>
          <w:szCs w:val="32"/>
        </w:rPr>
        <w:t>九、机关运行经费支出情况说明</w:t>
      </w:r>
    </w:p>
    <w:p>
      <w:pPr>
        <w:pStyle w:val="3"/>
        <w:keepNext w:val="0"/>
        <w:keepLines w:val="0"/>
        <w:pageBreakBefore w:val="0"/>
        <w:kinsoku w:val="0"/>
        <w:wordWrap/>
        <w:overflowPunct w:val="0"/>
        <w:topLinePunct w:val="0"/>
        <w:bidi w:val="0"/>
        <w:snapToGrid w:val="0"/>
        <w:spacing w:line="580" w:lineRule="exact"/>
        <w:ind w:left="0" w:firstLine="640" w:firstLineChars="200"/>
        <w:jc w:val="both"/>
        <w:textAlignment w:val="auto"/>
        <w:rPr>
          <w:rFonts w:hint="eastAsia" w:ascii="仿宋" w:hAnsi="仿宋" w:eastAsia="仿宋" w:cs="仿宋"/>
          <w:b/>
          <w:bCs/>
        </w:rPr>
      </w:pPr>
      <w:r>
        <w:rPr>
          <w:rFonts w:hint="eastAsia" w:ascii="仿宋_GB2312" w:hAnsi="仿宋_GB2312" w:eastAsia="仿宋_GB2312" w:cs="仿宋_GB2312"/>
          <w:sz w:val="32"/>
          <w:szCs w:val="32"/>
          <w:lang w:eastAsia="zh-CN"/>
        </w:rPr>
        <w:t>202</w:t>
      </w:r>
      <w:r>
        <w:rPr>
          <w:rFonts w:hint="eastAsia" w:hAnsi="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度</w:t>
      </w:r>
      <w:r>
        <w:rPr>
          <w:rFonts w:hint="eastAsia" w:hAnsi="仿宋_GB2312" w:cs="仿宋_GB2312"/>
          <w:sz w:val="32"/>
          <w:szCs w:val="32"/>
          <w:lang w:eastAsia="zh-CN"/>
        </w:rPr>
        <w:t>，</w:t>
      </w:r>
      <w:r>
        <w:rPr>
          <w:rFonts w:hint="eastAsia" w:ascii="仿宋" w:hAnsi="仿宋" w:eastAsia="仿宋" w:cs="仿宋"/>
        </w:rPr>
        <w:t>罗山县信访</w:t>
      </w:r>
      <w:r>
        <w:rPr>
          <w:rFonts w:hint="eastAsia" w:ascii="仿宋" w:hAnsi="仿宋" w:eastAsia="仿宋" w:cs="仿宋"/>
          <w:kern w:val="2"/>
        </w:rPr>
        <w:t>局机关运行经费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w:t>
      </w:r>
      <w:r>
        <w:rPr>
          <w:rFonts w:hint="eastAsia" w:hAnsi="仿宋_GB2312" w:cs="仿宋_GB2312"/>
          <w:sz w:val="32"/>
          <w:szCs w:val="32"/>
          <w:lang w:val="en-US" w:eastAsia="zh-CN"/>
        </w:rPr>
        <w:t>136</w:t>
      </w:r>
      <w:r>
        <w:rPr>
          <w:rFonts w:hint="eastAsia" w:ascii="仿宋_GB2312" w:hAnsi="仿宋_GB2312" w:eastAsia="仿宋_GB2312" w:cs="仿宋_GB2312"/>
          <w:sz w:val="32"/>
          <w:szCs w:val="32"/>
        </w:rPr>
        <w:t>万元</w:t>
      </w:r>
      <w:r>
        <w:rPr>
          <w:rFonts w:hint="eastAsia" w:hAnsi="仿宋_GB2312" w:cs="仿宋_GB2312"/>
          <w:sz w:val="32"/>
          <w:szCs w:val="32"/>
          <w:lang w:eastAsia="zh-CN"/>
        </w:rPr>
        <w:t>，</w:t>
      </w:r>
      <w:r>
        <w:rPr>
          <w:rFonts w:hint="eastAsia" w:ascii="仿宋" w:hAnsi="仿宋" w:eastAsia="仿宋" w:cs="仿宋"/>
          <w:kern w:val="2"/>
        </w:rPr>
        <w:t>支出</w:t>
      </w:r>
      <w:r>
        <w:rPr>
          <w:rFonts w:hint="eastAsia" w:ascii="仿宋_GB2312" w:hAnsi="仿宋_GB2312" w:eastAsia="仿宋_GB2312" w:cs="仿宋_GB2312"/>
          <w:sz w:val="32"/>
          <w:szCs w:val="32"/>
        </w:rPr>
        <w:t>决算为</w:t>
      </w:r>
      <w:r>
        <w:rPr>
          <w:rFonts w:hint="eastAsia" w:ascii="仿宋" w:hAnsi="仿宋" w:eastAsia="仿宋" w:cs="仿宋"/>
          <w:kern w:val="2"/>
          <w:lang w:val="en-US" w:eastAsia="zh-CN"/>
        </w:rPr>
        <w:t>117.03</w:t>
      </w:r>
      <w:r>
        <w:rPr>
          <w:rFonts w:hint="eastAsia" w:ascii="仿宋" w:hAnsi="仿宋" w:eastAsia="仿宋" w:cs="仿宋"/>
          <w:kern w:val="2"/>
        </w:rPr>
        <w:t>万元，比 20</w:t>
      </w:r>
      <w:r>
        <w:rPr>
          <w:rFonts w:hint="eastAsia" w:ascii="仿宋" w:hAnsi="仿宋" w:eastAsia="仿宋" w:cs="仿宋"/>
          <w:kern w:val="2"/>
          <w:lang w:val="en-US" w:eastAsia="zh-CN"/>
        </w:rPr>
        <w:t>21</w:t>
      </w:r>
      <w:r>
        <w:rPr>
          <w:rFonts w:hint="eastAsia" w:ascii="仿宋" w:hAnsi="仿宋" w:eastAsia="仿宋" w:cs="仿宋"/>
          <w:kern w:val="2"/>
        </w:rPr>
        <w:t>年</w:t>
      </w:r>
      <w:r>
        <w:rPr>
          <w:rFonts w:hint="eastAsia" w:ascii="仿宋" w:hAnsi="仿宋" w:eastAsia="仿宋" w:cs="仿宋"/>
          <w:kern w:val="2"/>
          <w:lang w:eastAsia="zh-CN"/>
        </w:rPr>
        <w:t>增加</w:t>
      </w:r>
      <w:r>
        <w:rPr>
          <w:rFonts w:hint="eastAsia" w:ascii="仿宋" w:hAnsi="仿宋" w:eastAsia="仿宋" w:cs="仿宋"/>
          <w:kern w:val="2"/>
          <w:lang w:val="en-US" w:eastAsia="zh-CN"/>
        </w:rPr>
        <w:t>7.03</w:t>
      </w:r>
      <w:r>
        <w:rPr>
          <w:rFonts w:hint="eastAsia" w:ascii="仿宋" w:hAnsi="仿宋" w:eastAsia="仿宋" w:cs="仿宋"/>
          <w:kern w:val="2"/>
        </w:rPr>
        <w:t>万</w:t>
      </w:r>
      <w:r>
        <w:rPr>
          <w:rFonts w:hint="eastAsia" w:ascii="仿宋" w:hAnsi="仿宋" w:eastAsia="仿宋" w:cs="仿宋"/>
          <w:kern w:val="2"/>
          <w:lang w:eastAsia="zh-CN"/>
        </w:rPr>
        <w:t>。</w:t>
      </w:r>
      <w:r>
        <w:rPr>
          <w:rFonts w:hint="eastAsia" w:ascii="仿宋" w:hAnsi="仿宋" w:eastAsia="仿宋" w:cs="仿宋"/>
          <w:kern w:val="2"/>
        </w:rPr>
        <w:t>主要原因</w:t>
      </w:r>
      <w:r>
        <w:rPr>
          <w:rFonts w:hint="eastAsia" w:ascii="仿宋" w:hAnsi="仿宋" w:eastAsia="仿宋" w:cs="仿宋"/>
          <w:kern w:val="2"/>
          <w:lang w:eastAsia="zh-CN"/>
        </w:rPr>
        <w:t>：临时性工作任务增加，经费支出增加</w:t>
      </w:r>
      <w:r>
        <w:rPr>
          <w:rFonts w:hint="eastAsia" w:ascii="仿宋" w:hAnsi="仿宋" w:eastAsia="仿宋" w:cs="仿宋"/>
          <w:kern w:val="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期末，我部门共有车辆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，我部门（单位）纳入预算绩效管理的支出总额为</w:t>
      </w:r>
      <w:r>
        <w:rPr>
          <w:rFonts w:hint="eastAsia" w:ascii="仿宋_GB2312" w:hAnsi="仿宋_GB2312" w:eastAsia="仿宋_GB2312" w:cs="仿宋_GB2312"/>
          <w:sz w:val="32"/>
          <w:szCs w:val="32"/>
          <w:lang w:val="en-US" w:eastAsia="zh-CN"/>
        </w:rPr>
        <w:t>275.6</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158.57</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117.03</w:t>
      </w:r>
      <w:r>
        <w:rPr>
          <w:rFonts w:hint="eastAsia" w:ascii="仿宋_GB2312" w:hAnsi="仿宋_GB2312" w:eastAsia="仿宋_GB2312" w:cs="仿宋_GB2312"/>
          <w:sz w:val="32"/>
          <w:szCs w:val="32"/>
        </w:rPr>
        <w:t>万元；支出项目共</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个，支出金额</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万元。其中，进行项目绩效自评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万元；纳入重点绩效评价（部门评价或财政评价）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深入贯彻《信访工作条例》，围绕疑难信访案件的攻坚化解，积极开展信访案件调查、协调工作，进一步提高全县疑难信访案件化解率；全面做好重要敏感时期突发信访事件的处置和重点领域、特定利益群体及信访老户等突出信访问题劝返、协调和化解工作，切实做好群众合法权益的维护和全县社会大局稳定。</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2022年我单位无重点项目</w:t>
      </w:r>
      <w:r>
        <w:rPr>
          <w:rFonts w:hint="eastAsia" w:ascii="仿宋_GB2312" w:hAnsi="仿宋_GB2312" w:eastAsia="仿宋_GB2312" w:cs="仿宋_GB2312"/>
          <w:sz w:val="32"/>
          <w:szCs w:val="32"/>
        </w:rPr>
        <w:t>。</w:t>
      </w:r>
    </w:p>
    <w:p>
      <w:pPr>
        <w:pStyle w:val="3"/>
        <w:keepNext w:val="0"/>
        <w:keepLines w:val="0"/>
        <w:pageBreakBefore w:val="0"/>
        <w:kinsoku w:val="0"/>
        <w:wordWrap/>
        <w:overflowPunct w:val="0"/>
        <w:topLinePunct w:val="0"/>
        <w:bidi w:val="0"/>
        <w:snapToGrid w:val="0"/>
        <w:spacing w:line="580" w:lineRule="exact"/>
        <w:ind w:left="0" w:firstLine="640" w:firstLineChars="200"/>
        <w:jc w:val="both"/>
        <w:textAlignment w:val="auto"/>
        <w:rPr>
          <w:rFonts w:ascii="仿宋" w:hAnsi="仿宋" w:eastAsia="仿宋" w:cs="仿宋"/>
          <w:color w:val="FF0000"/>
          <w:kern w:val="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rPr>
          <w:rFonts w:hint="eastAsia" w:ascii="仿宋_GB2312" w:hAnsi="仿宋_GB2312" w:eastAsia="仿宋_GB2312" w:cs="仿宋_GB2312"/>
          <w:sz w:val="32"/>
          <w:szCs w:val="32"/>
        </w:rPr>
      </w:pPr>
    </w:p>
    <w:p>
      <w:pPr>
        <w:adjustRightInd w:val="0"/>
        <w:snapToGrid w:val="0"/>
        <w:spacing w:line="500" w:lineRule="exact"/>
        <w:jc w:val="center"/>
        <w:rPr>
          <w:rFonts w:hint="eastAsia" w:ascii="黑体" w:hAnsi="黑体" w:eastAsia="黑体" w:cs="黑体"/>
          <w:sz w:val="44"/>
          <w:szCs w:val="44"/>
        </w:rPr>
      </w:pPr>
      <w:r>
        <w:rPr>
          <w:rFonts w:hint="eastAsia" w:ascii="黑体" w:hAnsi="黑体" w:eastAsia="黑体" w:cs="黑体"/>
          <w:sz w:val="44"/>
          <w:szCs w:val="44"/>
        </w:rPr>
        <w:t>第</w:t>
      </w:r>
      <w:r>
        <w:rPr>
          <w:rFonts w:hint="eastAsia" w:ascii="黑体" w:hAnsi="黑体" w:eastAsia="黑体" w:cs="黑体"/>
          <w:sz w:val="44"/>
          <w:szCs w:val="44"/>
          <w:lang w:eastAsia="zh-CN"/>
        </w:rPr>
        <w:t>四</w:t>
      </w:r>
      <w:r>
        <w:rPr>
          <w:rFonts w:hint="eastAsia" w:ascii="黑体" w:hAnsi="黑体" w:eastAsia="黑体" w:cs="黑体"/>
          <w:sz w:val="44"/>
          <w:szCs w:val="44"/>
        </w:rPr>
        <w:t>部分  名词解释</w:t>
      </w:r>
    </w:p>
    <w:p>
      <w:pPr>
        <w:spacing w:line="590" w:lineRule="exact"/>
        <w:ind w:firstLine="880" w:firstLineChars="200"/>
        <w:rPr>
          <w:rFonts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 w:hAnsi="仿宋" w:eastAsia="仿宋" w:cs="仿宋"/>
          <w:kern w:val="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headerReference r:id="rId3" w:type="default"/>
      <w:footerReference r:id="rId4" w:type="default"/>
      <w:pgSz w:w="11906" w:h="16838"/>
      <w:pgMar w:top="1304" w:right="1417" w:bottom="130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w:t>
    </w:r>
    <w:r>
      <w:rPr>
        <w:rFonts w:ascii="Arial" w:hAnsi="Arial" w:cs="Arial"/>
        <w:b/>
        <w:sz w:val="21"/>
        <w:szCs w:val="21"/>
      </w:rPr>
      <w:fldChar w:fldCharType="end"/>
    </w:r>
    <w:r>
      <w:rPr>
        <w:rFonts w:hint="eastAsia"/>
        <w:b/>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A2ECF"/>
    <w:multiLevelType w:val="singleLevel"/>
    <w:tmpl w:val="914A2ECF"/>
    <w:lvl w:ilvl="0" w:tentative="0">
      <w:start w:val="1"/>
      <w:numFmt w:val="chineseCounting"/>
      <w:suff w:val="nothing"/>
      <w:lvlText w:val="第%1部分　"/>
      <w:lvlJc w:val="left"/>
      <w:rPr>
        <w:rFonts w:hint="eastAsia"/>
      </w:rPr>
    </w:lvl>
  </w:abstractNum>
  <w:abstractNum w:abstractNumId="1">
    <w:nsid w:val="A90EF099"/>
    <w:multiLevelType w:val="singleLevel"/>
    <w:tmpl w:val="A90EF099"/>
    <w:lvl w:ilvl="0" w:tentative="0">
      <w:start w:val="7"/>
      <w:numFmt w:val="chineseCounting"/>
      <w:suff w:val="nothing"/>
      <w:lvlText w:val="%1、"/>
      <w:lvlJc w:val="left"/>
      <w:rPr>
        <w:rFonts w:hint="eastAsia"/>
      </w:rPr>
    </w:lvl>
  </w:abstractNum>
  <w:abstractNum w:abstractNumId="2">
    <w:nsid w:val="EB1FBBE1"/>
    <w:multiLevelType w:val="singleLevel"/>
    <w:tmpl w:val="EB1FBBE1"/>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MjI5OTllN2ZhMTkzMmFjNDJlYjU5MTUzNThlNmQifQ=="/>
  </w:docVars>
  <w:rsids>
    <w:rsidRoot w:val="0031739C"/>
    <w:rsid w:val="00020AE1"/>
    <w:rsid w:val="00074D77"/>
    <w:rsid w:val="000A2B98"/>
    <w:rsid w:val="000B415D"/>
    <w:rsid w:val="000D56F3"/>
    <w:rsid w:val="00134CCE"/>
    <w:rsid w:val="001F29F2"/>
    <w:rsid w:val="00286D07"/>
    <w:rsid w:val="002F02A6"/>
    <w:rsid w:val="0031739C"/>
    <w:rsid w:val="00365808"/>
    <w:rsid w:val="00384356"/>
    <w:rsid w:val="00384BCC"/>
    <w:rsid w:val="003C3B87"/>
    <w:rsid w:val="004341D8"/>
    <w:rsid w:val="00450AA1"/>
    <w:rsid w:val="0046154D"/>
    <w:rsid w:val="004C10E8"/>
    <w:rsid w:val="0052226D"/>
    <w:rsid w:val="00571CBA"/>
    <w:rsid w:val="00607D22"/>
    <w:rsid w:val="00645B05"/>
    <w:rsid w:val="006A41F6"/>
    <w:rsid w:val="006F3375"/>
    <w:rsid w:val="007606F0"/>
    <w:rsid w:val="00774641"/>
    <w:rsid w:val="00791DE1"/>
    <w:rsid w:val="00794FFC"/>
    <w:rsid w:val="007B64F5"/>
    <w:rsid w:val="007F5FD2"/>
    <w:rsid w:val="007F66A2"/>
    <w:rsid w:val="00853B5A"/>
    <w:rsid w:val="008704D8"/>
    <w:rsid w:val="008C0480"/>
    <w:rsid w:val="008F3CB2"/>
    <w:rsid w:val="009108C2"/>
    <w:rsid w:val="00913267"/>
    <w:rsid w:val="009C4050"/>
    <w:rsid w:val="00A85AB2"/>
    <w:rsid w:val="00AC1997"/>
    <w:rsid w:val="00AC6A4C"/>
    <w:rsid w:val="00AE17DE"/>
    <w:rsid w:val="00B9786D"/>
    <w:rsid w:val="00BA0CFD"/>
    <w:rsid w:val="00BA1EC5"/>
    <w:rsid w:val="00BE739B"/>
    <w:rsid w:val="00C25433"/>
    <w:rsid w:val="00C31AC4"/>
    <w:rsid w:val="00C66F4B"/>
    <w:rsid w:val="00C84172"/>
    <w:rsid w:val="00D17656"/>
    <w:rsid w:val="00D378B1"/>
    <w:rsid w:val="00D6520D"/>
    <w:rsid w:val="00DC20BD"/>
    <w:rsid w:val="00DF681B"/>
    <w:rsid w:val="00E73A5A"/>
    <w:rsid w:val="00E9739D"/>
    <w:rsid w:val="00EB2CD4"/>
    <w:rsid w:val="00ED578F"/>
    <w:rsid w:val="00FA3DED"/>
    <w:rsid w:val="00FF4E6C"/>
    <w:rsid w:val="016905E6"/>
    <w:rsid w:val="01AA6DBD"/>
    <w:rsid w:val="01D401E4"/>
    <w:rsid w:val="021A39AD"/>
    <w:rsid w:val="02952E16"/>
    <w:rsid w:val="032E30C1"/>
    <w:rsid w:val="039D4C9C"/>
    <w:rsid w:val="044B7594"/>
    <w:rsid w:val="04541160"/>
    <w:rsid w:val="047A2969"/>
    <w:rsid w:val="04A23188"/>
    <w:rsid w:val="050E411D"/>
    <w:rsid w:val="051136CD"/>
    <w:rsid w:val="054E7A2D"/>
    <w:rsid w:val="058A05AF"/>
    <w:rsid w:val="0600448A"/>
    <w:rsid w:val="0619432D"/>
    <w:rsid w:val="06406303"/>
    <w:rsid w:val="06BB667A"/>
    <w:rsid w:val="06D8638A"/>
    <w:rsid w:val="081C40EB"/>
    <w:rsid w:val="08C46881"/>
    <w:rsid w:val="08D13D0A"/>
    <w:rsid w:val="0967212E"/>
    <w:rsid w:val="09C917B0"/>
    <w:rsid w:val="0A3962A0"/>
    <w:rsid w:val="0AC2025C"/>
    <w:rsid w:val="0AC83AFB"/>
    <w:rsid w:val="0AE141B5"/>
    <w:rsid w:val="0B794203"/>
    <w:rsid w:val="0BA36DEB"/>
    <w:rsid w:val="0BB16F3A"/>
    <w:rsid w:val="0C190462"/>
    <w:rsid w:val="0C290090"/>
    <w:rsid w:val="0C311C00"/>
    <w:rsid w:val="0C611332"/>
    <w:rsid w:val="0C8B5877"/>
    <w:rsid w:val="0C9279AA"/>
    <w:rsid w:val="0CE15342"/>
    <w:rsid w:val="0D0E4F41"/>
    <w:rsid w:val="0D224A05"/>
    <w:rsid w:val="0D5E0814"/>
    <w:rsid w:val="0D763F87"/>
    <w:rsid w:val="0DB459CF"/>
    <w:rsid w:val="0DCA6CB8"/>
    <w:rsid w:val="0E13749E"/>
    <w:rsid w:val="0E216CB2"/>
    <w:rsid w:val="0E276EE1"/>
    <w:rsid w:val="0E443503"/>
    <w:rsid w:val="0E4952CC"/>
    <w:rsid w:val="0E6D389F"/>
    <w:rsid w:val="0F320D80"/>
    <w:rsid w:val="0F5B1608"/>
    <w:rsid w:val="0FAA04B5"/>
    <w:rsid w:val="0FD9791B"/>
    <w:rsid w:val="1025544D"/>
    <w:rsid w:val="102B3886"/>
    <w:rsid w:val="10341800"/>
    <w:rsid w:val="103C2486"/>
    <w:rsid w:val="1099630D"/>
    <w:rsid w:val="1235512C"/>
    <w:rsid w:val="128B6122"/>
    <w:rsid w:val="12C70513"/>
    <w:rsid w:val="13D00C5A"/>
    <w:rsid w:val="13D36C5E"/>
    <w:rsid w:val="141E43AD"/>
    <w:rsid w:val="14247A94"/>
    <w:rsid w:val="14D80788"/>
    <w:rsid w:val="15615C11"/>
    <w:rsid w:val="159567E1"/>
    <w:rsid w:val="15FC1A01"/>
    <w:rsid w:val="161C3F0F"/>
    <w:rsid w:val="16237762"/>
    <w:rsid w:val="165668C3"/>
    <w:rsid w:val="16A83AB2"/>
    <w:rsid w:val="16CB10D7"/>
    <w:rsid w:val="17875C06"/>
    <w:rsid w:val="17BB1475"/>
    <w:rsid w:val="17C6438B"/>
    <w:rsid w:val="183A5F25"/>
    <w:rsid w:val="183E074E"/>
    <w:rsid w:val="18783E52"/>
    <w:rsid w:val="188D36A0"/>
    <w:rsid w:val="18DD5CF3"/>
    <w:rsid w:val="18EE261C"/>
    <w:rsid w:val="19367ED4"/>
    <w:rsid w:val="19694A05"/>
    <w:rsid w:val="19C67560"/>
    <w:rsid w:val="19F512F5"/>
    <w:rsid w:val="1A057BF2"/>
    <w:rsid w:val="1A321C85"/>
    <w:rsid w:val="1A40315B"/>
    <w:rsid w:val="1A562578"/>
    <w:rsid w:val="1B38108F"/>
    <w:rsid w:val="1B724B48"/>
    <w:rsid w:val="1BAD0D01"/>
    <w:rsid w:val="1BB42C2C"/>
    <w:rsid w:val="1BC958D7"/>
    <w:rsid w:val="1C8359CC"/>
    <w:rsid w:val="1C8406D4"/>
    <w:rsid w:val="1D6E6AE7"/>
    <w:rsid w:val="1D79207B"/>
    <w:rsid w:val="1DA30EAE"/>
    <w:rsid w:val="1E276D44"/>
    <w:rsid w:val="1EF706F1"/>
    <w:rsid w:val="1F5357CB"/>
    <w:rsid w:val="1F7730EB"/>
    <w:rsid w:val="1F8D0BD7"/>
    <w:rsid w:val="1F92617F"/>
    <w:rsid w:val="1FEA5A5B"/>
    <w:rsid w:val="1FFA4D30"/>
    <w:rsid w:val="20662F0B"/>
    <w:rsid w:val="20C46446"/>
    <w:rsid w:val="20F34146"/>
    <w:rsid w:val="210320DF"/>
    <w:rsid w:val="210C5356"/>
    <w:rsid w:val="2115126D"/>
    <w:rsid w:val="213B1D85"/>
    <w:rsid w:val="21586FF4"/>
    <w:rsid w:val="21862199"/>
    <w:rsid w:val="21D3626B"/>
    <w:rsid w:val="22031C2C"/>
    <w:rsid w:val="22465668"/>
    <w:rsid w:val="22622495"/>
    <w:rsid w:val="229B5D16"/>
    <w:rsid w:val="22C46345"/>
    <w:rsid w:val="22DC0519"/>
    <w:rsid w:val="23B12ABA"/>
    <w:rsid w:val="23BB5223"/>
    <w:rsid w:val="23BC0842"/>
    <w:rsid w:val="23C47329"/>
    <w:rsid w:val="23E50EBB"/>
    <w:rsid w:val="240B4F9D"/>
    <w:rsid w:val="24312314"/>
    <w:rsid w:val="244B73D4"/>
    <w:rsid w:val="24C4629A"/>
    <w:rsid w:val="24EC42CF"/>
    <w:rsid w:val="24EC7CC7"/>
    <w:rsid w:val="251F27A4"/>
    <w:rsid w:val="255861CB"/>
    <w:rsid w:val="25A41514"/>
    <w:rsid w:val="25A8248F"/>
    <w:rsid w:val="25F00009"/>
    <w:rsid w:val="25F96F05"/>
    <w:rsid w:val="26A06475"/>
    <w:rsid w:val="26DF7342"/>
    <w:rsid w:val="26F83F35"/>
    <w:rsid w:val="27523C78"/>
    <w:rsid w:val="27785879"/>
    <w:rsid w:val="279E3C38"/>
    <w:rsid w:val="27CA377F"/>
    <w:rsid w:val="27D106C5"/>
    <w:rsid w:val="283616EF"/>
    <w:rsid w:val="28654CB2"/>
    <w:rsid w:val="286B15BD"/>
    <w:rsid w:val="2879038A"/>
    <w:rsid w:val="28FE0073"/>
    <w:rsid w:val="295D46FF"/>
    <w:rsid w:val="299359C1"/>
    <w:rsid w:val="299565F5"/>
    <w:rsid w:val="29D6643D"/>
    <w:rsid w:val="2A0F2B2E"/>
    <w:rsid w:val="2A527EA1"/>
    <w:rsid w:val="2AE447C5"/>
    <w:rsid w:val="2B177742"/>
    <w:rsid w:val="2B1E7277"/>
    <w:rsid w:val="2B396FE4"/>
    <w:rsid w:val="2B6113B8"/>
    <w:rsid w:val="2C2E7CC1"/>
    <w:rsid w:val="2C3247FA"/>
    <w:rsid w:val="2CA44AF0"/>
    <w:rsid w:val="2CDE5F6F"/>
    <w:rsid w:val="2CEE1204"/>
    <w:rsid w:val="2D8D641E"/>
    <w:rsid w:val="2DF90FEB"/>
    <w:rsid w:val="2E0C40A3"/>
    <w:rsid w:val="2E241345"/>
    <w:rsid w:val="2E281938"/>
    <w:rsid w:val="2E2C7176"/>
    <w:rsid w:val="2E303556"/>
    <w:rsid w:val="2EA149E2"/>
    <w:rsid w:val="2EB428D3"/>
    <w:rsid w:val="2F902E30"/>
    <w:rsid w:val="2FBA58CC"/>
    <w:rsid w:val="2FF506E4"/>
    <w:rsid w:val="301234BA"/>
    <w:rsid w:val="302F4F43"/>
    <w:rsid w:val="304A4834"/>
    <w:rsid w:val="306F448F"/>
    <w:rsid w:val="30DB1A84"/>
    <w:rsid w:val="31265ABB"/>
    <w:rsid w:val="314E6079"/>
    <w:rsid w:val="31BF6730"/>
    <w:rsid w:val="31FA1CF0"/>
    <w:rsid w:val="320E59B6"/>
    <w:rsid w:val="32857F04"/>
    <w:rsid w:val="32E17040"/>
    <w:rsid w:val="333A3E82"/>
    <w:rsid w:val="333C2B6D"/>
    <w:rsid w:val="333D230D"/>
    <w:rsid w:val="338158A4"/>
    <w:rsid w:val="33C66EBC"/>
    <w:rsid w:val="33C90CF7"/>
    <w:rsid w:val="33CC3ECE"/>
    <w:rsid w:val="33EE50AF"/>
    <w:rsid w:val="345C3679"/>
    <w:rsid w:val="348C1B49"/>
    <w:rsid w:val="350A487B"/>
    <w:rsid w:val="35155921"/>
    <w:rsid w:val="351E444C"/>
    <w:rsid w:val="35964A6F"/>
    <w:rsid w:val="36293788"/>
    <w:rsid w:val="3687386A"/>
    <w:rsid w:val="369F5B65"/>
    <w:rsid w:val="36A94E07"/>
    <w:rsid w:val="37BD0846"/>
    <w:rsid w:val="38335C15"/>
    <w:rsid w:val="383D46D6"/>
    <w:rsid w:val="38851687"/>
    <w:rsid w:val="38CA6FE4"/>
    <w:rsid w:val="38D529E7"/>
    <w:rsid w:val="38F67B20"/>
    <w:rsid w:val="397D373F"/>
    <w:rsid w:val="399C6238"/>
    <w:rsid w:val="39C24FB4"/>
    <w:rsid w:val="3A574F88"/>
    <w:rsid w:val="3AD1204E"/>
    <w:rsid w:val="3AE026BD"/>
    <w:rsid w:val="3AF6076E"/>
    <w:rsid w:val="3B3A5C97"/>
    <w:rsid w:val="3B4715A0"/>
    <w:rsid w:val="3C4C3B2B"/>
    <w:rsid w:val="3C4C4E07"/>
    <w:rsid w:val="3C8B7826"/>
    <w:rsid w:val="3CA8662A"/>
    <w:rsid w:val="3CAD7D6C"/>
    <w:rsid w:val="3CC06549"/>
    <w:rsid w:val="3D2046E2"/>
    <w:rsid w:val="3D281519"/>
    <w:rsid w:val="3D5426F2"/>
    <w:rsid w:val="3D883156"/>
    <w:rsid w:val="3D8D63E2"/>
    <w:rsid w:val="3DAD505A"/>
    <w:rsid w:val="3DF02348"/>
    <w:rsid w:val="3E2B340E"/>
    <w:rsid w:val="3E5A5B5A"/>
    <w:rsid w:val="3E9726DE"/>
    <w:rsid w:val="3EAE4BC7"/>
    <w:rsid w:val="3EF70D9C"/>
    <w:rsid w:val="4026277E"/>
    <w:rsid w:val="40546965"/>
    <w:rsid w:val="40E3133B"/>
    <w:rsid w:val="40E96907"/>
    <w:rsid w:val="411A11BD"/>
    <w:rsid w:val="411C5112"/>
    <w:rsid w:val="414871E0"/>
    <w:rsid w:val="41491320"/>
    <w:rsid w:val="41714557"/>
    <w:rsid w:val="417935FE"/>
    <w:rsid w:val="41C12F47"/>
    <w:rsid w:val="41D112E9"/>
    <w:rsid w:val="4317570D"/>
    <w:rsid w:val="432B1D63"/>
    <w:rsid w:val="43341C38"/>
    <w:rsid w:val="434E1D67"/>
    <w:rsid w:val="43931F35"/>
    <w:rsid w:val="43F45474"/>
    <w:rsid w:val="44574047"/>
    <w:rsid w:val="44770C51"/>
    <w:rsid w:val="44A97D97"/>
    <w:rsid w:val="44AD2187"/>
    <w:rsid w:val="45555114"/>
    <w:rsid w:val="45B536DD"/>
    <w:rsid w:val="460574CA"/>
    <w:rsid w:val="460670D6"/>
    <w:rsid w:val="4623374B"/>
    <w:rsid w:val="46333C58"/>
    <w:rsid w:val="466756D3"/>
    <w:rsid w:val="46692995"/>
    <w:rsid w:val="46996FB4"/>
    <w:rsid w:val="46FE259D"/>
    <w:rsid w:val="470C3AC9"/>
    <w:rsid w:val="474B7786"/>
    <w:rsid w:val="484A21C3"/>
    <w:rsid w:val="48751B76"/>
    <w:rsid w:val="489C3C3F"/>
    <w:rsid w:val="48BA64C8"/>
    <w:rsid w:val="48C67ABE"/>
    <w:rsid w:val="48CB3B0A"/>
    <w:rsid w:val="496E37B9"/>
    <w:rsid w:val="49C45808"/>
    <w:rsid w:val="4B0F3F15"/>
    <w:rsid w:val="4B5E2889"/>
    <w:rsid w:val="4B7778F3"/>
    <w:rsid w:val="4BB625CD"/>
    <w:rsid w:val="4BF54DFA"/>
    <w:rsid w:val="4C061B94"/>
    <w:rsid w:val="4C2249E9"/>
    <w:rsid w:val="4C272593"/>
    <w:rsid w:val="4C3F610C"/>
    <w:rsid w:val="4C8C206B"/>
    <w:rsid w:val="4CCD1FB5"/>
    <w:rsid w:val="4CF86A0C"/>
    <w:rsid w:val="4D411FDA"/>
    <w:rsid w:val="4DB2571A"/>
    <w:rsid w:val="4DC3459B"/>
    <w:rsid w:val="4DC94000"/>
    <w:rsid w:val="4DD12BCA"/>
    <w:rsid w:val="4DDD4F98"/>
    <w:rsid w:val="4E131AAE"/>
    <w:rsid w:val="4E3D4894"/>
    <w:rsid w:val="4E8D6906"/>
    <w:rsid w:val="4EF359EA"/>
    <w:rsid w:val="4EF91B8D"/>
    <w:rsid w:val="4F53550A"/>
    <w:rsid w:val="4F8C06D7"/>
    <w:rsid w:val="501B4DD9"/>
    <w:rsid w:val="50256650"/>
    <w:rsid w:val="50590C4C"/>
    <w:rsid w:val="505E4FA2"/>
    <w:rsid w:val="506848B8"/>
    <w:rsid w:val="508014DA"/>
    <w:rsid w:val="50AB62D7"/>
    <w:rsid w:val="50C87895"/>
    <w:rsid w:val="50F07479"/>
    <w:rsid w:val="51BF15EE"/>
    <w:rsid w:val="524E6A40"/>
    <w:rsid w:val="52CB4495"/>
    <w:rsid w:val="52E00CA0"/>
    <w:rsid w:val="530103EA"/>
    <w:rsid w:val="531E0001"/>
    <w:rsid w:val="5381691E"/>
    <w:rsid w:val="539F06DC"/>
    <w:rsid w:val="546D050A"/>
    <w:rsid w:val="548743B3"/>
    <w:rsid w:val="5495703C"/>
    <w:rsid w:val="54A02FDC"/>
    <w:rsid w:val="54A7525C"/>
    <w:rsid w:val="54D84D3A"/>
    <w:rsid w:val="55480F58"/>
    <w:rsid w:val="554963A1"/>
    <w:rsid w:val="55900BF8"/>
    <w:rsid w:val="559D00E7"/>
    <w:rsid w:val="55D769AD"/>
    <w:rsid w:val="568B0672"/>
    <w:rsid w:val="56DD50F5"/>
    <w:rsid w:val="56E85054"/>
    <w:rsid w:val="572811AC"/>
    <w:rsid w:val="574A6461"/>
    <w:rsid w:val="57681180"/>
    <w:rsid w:val="5779003A"/>
    <w:rsid w:val="58C16B35"/>
    <w:rsid w:val="59145E88"/>
    <w:rsid w:val="597E00F5"/>
    <w:rsid w:val="5A693832"/>
    <w:rsid w:val="5A6C43FD"/>
    <w:rsid w:val="5AD05CCB"/>
    <w:rsid w:val="5ADE47ED"/>
    <w:rsid w:val="5B055B86"/>
    <w:rsid w:val="5B6D74A7"/>
    <w:rsid w:val="5B974194"/>
    <w:rsid w:val="5BA02E96"/>
    <w:rsid w:val="5BDE3962"/>
    <w:rsid w:val="5BEF051E"/>
    <w:rsid w:val="5C273763"/>
    <w:rsid w:val="5C7A42EF"/>
    <w:rsid w:val="5D006D3F"/>
    <w:rsid w:val="5DB744C7"/>
    <w:rsid w:val="5F093745"/>
    <w:rsid w:val="5F562B09"/>
    <w:rsid w:val="5F971D41"/>
    <w:rsid w:val="5FD621CE"/>
    <w:rsid w:val="601D30A1"/>
    <w:rsid w:val="60BA728E"/>
    <w:rsid w:val="613108B2"/>
    <w:rsid w:val="61903C04"/>
    <w:rsid w:val="61FC3196"/>
    <w:rsid w:val="622B3574"/>
    <w:rsid w:val="625A5001"/>
    <w:rsid w:val="62BF5964"/>
    <w:rsid w:val="62CB1502"/>
    <w:rsid w:val="62F160A0"/>
    <w:rsid w:val="62FF575B"/>
    <w:rsid w:val="638737FF"/>
    <w:rsid w:val="638933E3"/>
    <w:rsid w:val="639B03D9"/>
    <w:rsid w:val="64C777A1"/>
    <w:rsid w:val="64F8789F"/>
    <w:rsid w:val="65415ECD"/>
    <w:rsid w:val="65981608"/>
    <w:rsid w:val="65BE1C5A"/>
    <w:rsid w:val="66065896"/>
    <w:rsid w:val="6631702C"/>
    <w:rsid w:val="6646580E"/>
    <w:rsid w:val="67362E6F"/>
    <w:rsid w:val="678F180F"/>
    <w:rsid w:val="67E802BB"/>
    <w:rsid w:val="67EA078B"/>
    <w:rsid w:val="67EE2705"/>
    <w:rsid w:val="68DD260D"/>
    <w:rsid w:val="6924050A"/>
    <w:rsid w:val="69A45F4B"/>
    <w:rsid w:val="69C366FA"/>
    <w:rsid w:val="6A4E6CD6"/>
    <w:rsid w:val="6A8E5733"/>
    <w:rsid w:val="6AA25E8C"/>
    <w:rsid w:val="6BAC4AC7"/>
    <w:rsid w:val="6C3027CB"/>
    <w:rsid w:val="6CB51011"/>
    <w:rsid w:val="6D51158D"/>
    <w:rsid w:val="6D93387A"/>
    <w:rsid w:val="6D94212F"/>
    <w:rsid w:val="6D9E3682"/>
    <w:rsid w:val="6E282B1C"/>
    <w:rsid w:val="6EB51C2E"/>
    <w:rsid w:val="6F0A2720"/>
    <w:rsid w:val="6F0F3530"/>
    <w:rsid w:val="6F4D2259"/>
    <w:rsid w:val="6FA10C1F"/>
    <w:rsid w:val="6FFD1BD7"/>
    <w:rsid w:val="700F378A"/>
    <w:rsid w:val="703A7DA6"/>
    <w:rsid w:val="70544775"/>
    <w:rsid w:val="71007115"/>
    <w:rsid w:val="711D0263"/>
    <w:rsid w:val="71C1519D"/>
    <w:rsid w:val="71E04484"/>
    <w:rsid w:val="72121637"/>
    <w:rsid w:val="726262C0"/>
    <w:rsid w:val="72DC6695"/>
    <w:rsid w:val="735C17CC"/>
    <w:rsid w:val="73C82A1E"/>
    <w:rsid w:val="73C95483"/>
    <w:rsid w:val="74302BEE"/>
    <w:rsid w:val="74367F1C"/>
    <w:rsid w:val="746C58FD"/>
    <w:rsid w:val="74BD4075"/>
    <w:rsid w:val="74CC626C"/>
    <w:rsid w:val="75804393"/>
    <w:rsid w:val="75BD49B0"/>
    <w:rsid w:val="76184582"/>
    <w:rsid w:val="76FF1D10"/>
    <w:rsid w:val="77094E3F"/>
    <w:rsid w:val="774B02CB"/>
    <w:rsid w:val="777A0553"/>
    <w:rsid w:val="779558D3"/>
    <w:rsid w:val="77A4349B"/>
    <w:rsid w:val="78134F95"/>
    <w:rsid w:val="78807FDC"/>
    <w:rsid w:val="78F25D44"/>
    <w:rsid w:val="78FE4A0F"/>
    <w:rsid w:val="795148D6"/>
    <w:rsid w:val="79916108"/>
    <w:rsid w:val="7A2808EA"/>
    <w:rsid w:val="7A2A31CA"/>
    <w:rsid w:val="7A7E03F9"/>
    <w:rsid w:val="7AFB559C"/>
    <w:rsid w:val="7B6A1314"/>
    <w:rsid w:val="7BA90C99"/>
    <w:rsid w:val="7BC95036"/>
    <w:rsid w:val="7BF13FEE"/>
    <w:rsid w:val="7C122E8F"/>
    <w:rsid w:val="7C3339F6"/>
    <w:rsid w:val="7C431735"/>
    <w:rsid w:val="7C4973D9"/>
    <w:rsid w:val="7C6F02A1"/>
    <w:rsid w:val="7C730364"/>
    <w:rsid w:val="7CEE21AA"/>
    <w:rsid w:val="7CFE7B28"/>
    <w:rsid w:val="7D3A3D0E"/>
    <w:rsid w:val="7D8B51A1"/>
    <w:rsid w:val="7E5155C9"/>
    <w:rsid w:val="7E6B0712"/>
    <w:rsid w:val="7EBB1EC4"/>
    <w:rsid w:val="7F092BEC"/>
    <w:rsid w:val="7F8063FB"/>
    <w:rsid w:val="7F9B57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link w:val="13"/>
    <w:qFormat/>
    <w:uiPriority w:val="99"/>
    <w:pPr>
      <w:autoSpaceDE w:val="0"/>
      <w:autoSpaceDN w:val="0"/>
      <w:adjustRightInd w:val="0"/>
      <w:ind w:left="761"/>
      <w:jc w:val="left"/>
    </w:pPr>
    <w:rPr>
      <w:rFonts w:ascii="仿宋_GB2312" w:eastAsia="仿宋_GB2312" w:cs="仿宋_GB2312"/>
      <w:kern w:val="0"/>
      <w:sz w:val="32"/>
      <w:szCs w:val="32"/>
    </w:rPr>
  </w:style>
  <w:style w:type="paragraph" w:styleId="4">
    <w:name w:val="Balloon Text"/>
    <w:basedOn w:val="1"/>
    <w:link w:val="14"/>
    <w:unhideWhenUsed/>
    <w:qFormat/>
    <w:uiPriority w:val="99"/>
    <w:rPr>
      <w:sz w:val="18"/>
      <w:szCs w:val="18"/>
    </w:rPr>
  </w:style>
  <w:style w:type="paragraph" w:styleId="5">
    <w:name w:val="footer"/>
    <w:basedOn w:val="1"/>
    <w:link w:val="15"/>
    <w:qFormat/>
    <w:uiPriority w:val="99"/>
    <w:pPr>
      <w:tabs>
        <w:tab w:val="center" w:pos="4153"/>
        <w:tab w:val="right" w:pos="8306"/>
      </w:tabs>
      <w:snapToGrid w:val="0"/>
      <w:spacing w:line="600" w:lineRule="exact"/>
      <w:ind w:firstLine="200" w:firstLineChars="200"/>
      <w:jc w:val="left"/>
    </w:pPr>
    <w:rPr>
      <w:kern w:val="0"/>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spacing w:line="600" w:lineRule="exact"/>
      <w:ind w:firstLine="200" w:firstLineChars="200"/>
      <w:jc w:val="center"/>
    </w:pPr>
    <w:rPr>
      <w:kern w:val="0"/>
      <w:sz w:val="18"/>
      <w:szCs w:val="18"/>
    </w:rPr>
  </w:style>
  <w:style w:type="paragraph" w:styleId="7">
    <w:name w:val="footnote text"/>
    <w:basedOn w:val="1"/>
    <w:unhideWhenUsed/>
    <w:qFormat/>
    <w:uiPriority w:val="99"/>
    <w:pPr>
      <w:snapToGrid w:val="0"/>
      <w:jc w:val="left"/>
    </w:pPr>
    <w:rPr>
      <w:sz w:val="18"/>
    </w:rPr>
  </w:style>
  <w:style w:type="paragraph" w:styleId="8">
    <w:name w:val="Normal (Web)"/>
    <w:basedOn w:val="1"/>
    <w:unhideWhenUsed/>
    <w:qFormat/>
    <w:uiPriority w:val="99"/>
    <w:pPr>
      <w:spacing w:before="100" w:beforeAutospacing="1" w:after="100" w:afterAutospacing="1"/>
    </w:pPr>
  </w:style>
  <w:style w:type="character" w:styleId="11">
    <w:name w:val="annotation reference"/>
    <w:basedOn w:val="10"/>
    <w:unhideWhenUsed/>
    <w:qFormat/>
    <w:uiPriority w:val="99"/>
    <w:rPr>
      <w:sz w:val="21"/>
      <w:szCs w:val="21"/>
    </w:rPr>
  </w:style>
  <w:style w:type="character" w:styleId="12">
    <w:name w:val="footnote reference"/>
    <w:basedOn w:val="10"/>
    <w:unhideWhenUsed/>
    <w:qFormat/>
    <w:uiPriority w:val="99"/>
    <w:rPr>
      <w:vertAlign w:val="superscript"/>
    </w:rPr>
  </w:style>
  <w:style w:type="character" w:customStyle="1" w:styleId="13">
    <w:name w:val="正文文本 Char"/>
    <w:basedOn w:val="10"/>
    <w:link w:val="3"/>
    <w:qFormat/>
    <w:uiPriority w:val="99"/>
    <w:rPr>
      <w:szCs w:val="24"/>
    </w:rPr>
  </w:style>
  <w:style w:type="character" w:customStyle="1" w:styleId="14">
    <w:name w:val="批注框文本 Char"/>
    <w:basedOn w:val="10"/>
    <w:link w:val="4"/>
    <w:semiHidden/>
    <w:qFormat/>
    <w:uiPriority w:val="99"/>
    <w:rPr>
      <w:kern w:val="2"/>
      <w:sz w:val="18"/>
      <w:szCs w:val="18"/>
    </w:rPr>
  </w:style>
  <w:style w:type="character" w:customStyle="1" w:styleId="15">
    <w:name w:val="页脚 Char"/>
    <w:basedOn w:val="10"/>
    <w:link w:val="5"/>
    <w:semiHidden/>
    <w:qFormat/>
    <w:uiPriority w:val="99"/>
    <w:rPr>
      <w:sz w:val="18"/>
      <w:szCs w:val="18"/>
    </w:rPr>
  </w:style>
  <w:style w:type="character" w:customStyle="1" w:styleId="16">
    <w:name w:val="页眉 Char"/>
    <w:basedOn w:val="10"/>
    <w:link w:val="6"/>
    <w:semiHidden/>
    <w:qFormat/>
    <w:uiPriority w:val="99"/>
    <w:rPr>
      <w:sz w:val="18"/>
      <w:szCs w:val="18"/>
    </w:rPr>
  </w:style>
  <w:style w:type="character" w:customStyle="1" w:styleId="17">
    <w:name w:val="font41"/>
    <w:basedOn w:val="10"/>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01"/>
    <w:qFormat/>
    <w:uiPriority w:val="0"/>
    <w:rPr>
      <w:rFonts w:hint="eastAsia" w:ascii="宋体" w:hAnsi="宋体" w:eastAsia="宋体" w:cs="宋体"/>
      <w:color w:val="000000"/>
      <w:sz w:val="22"/>
      <w:szCs w:val="22"/>
      <w:u w:val="none"/>
    </w:rPr>
  </w:style>
  <w:style w:type="character" w:customStyle="1" w:styleId="20">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Pages>
  <Words>7795</Words>
  <Characters>9110</Characters>
  <Lines>71</Lines>
  <Paragraphs>20</Paragraphs>
  <TotalTime>9</TotalTime>
  <ScaleCrop>false</ScaleCrop>
  <LinksUpToDate>false</LinksUpToDate>
  <CharactersWithSpaces>9433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2021-02-23T00:37:00Z</dcterms:created>
  <dc:creator>li-jian</dc:creator>
  <cp:lastModifiedBy>Administrator</cp:lastModifiedBy>
  <cp:lastPrinted>2023-09-19T02:43:00Z</cp:lastPrinted>
  <dcterms:modified xsi:type="dcterms:W3CDTF">2023-09-20T07:23:58Z</dcterms:modified>
  <dc:title>第二部分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05B9310AE5DA439788E6BB9C58FA21A0_13</vt:lpwstr>
  </property>
</Properties>
</file>