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28"/>
          <w:szCs w:val="28"/>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罗山县农机车辆监理所</w:t>
      </w: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2</w:t>
      </w:r>
      <w:r>
        <w:rPr>
          <w:rFonts w:hint="eastAsia" w:ascii="黑体" w:hAnsi="黑体" w:eastAsia="黑体" w:cs="黑体"/>
          <w:sz w:val="52"/>
          <w:szCs w:val="52"/>
        </w:rPr>
        <w:t>年度决算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3</w:t>
      </w:r>
      <w:r>
        <w:rPr>
          <w:rFonts w:hint="eastAsia" w:ascii="黑体" w:hAnsi="黑体" w:eastAsia="黑体" w:cs="黑体"/>
          <w:sz w:val="52"/>
          <w:szCs w:val="52"/>
        </w:rPr>
        <w:t>年</w:t>
      </w:r>
      <w:r>
        <w:rPr>
          <w:rFonts w:hint="eastAsia" w:ascii="黑体" w:hAnsi="黑体" w:eastAsia="黑体" w:cs="黑体"/>
          <w:sz w:val="52"/>
          <w:szCs w:val="52"/>
          <w:lang w:val="en-US" w:eastAsia="zh-CN"/>
        </w:rPr>
        <w:t>9</w:t>
      </w:r>
      <w:r>
        <w:rPr>
          <w:rFonts w:hint="eastAsia" w:ascii="黑体" w:hAnsi="黑体" w:eastAsia="黑体" w:cs="黑体"/>
          <w:sz w:val="52"/>
          <w:szCs w:val="52"/>
        </w:rPr>
        <w:t>月</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第一部分　　农机车辆监理所概况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44"/>
          <w:szCs w:val="44"/>
        </w:rPr>
      </w:pPr>
      <w:r>
        <w:rPr>
          <w:rFonts w:hint="eastAsia" w:ascii="黑体" w:hAnsi="黑体" w:eastAsia="黑体" w:cs="黑体"/>
          <w:sz w:val="32"/>
          <w:szCs w:val="32"/>
        </w:rPr>
        <w:t>第三部分　　名词解释</w:t>
      </w:r>
    </w:p>
    <w:p>
      <w:pPr>
        <w:jc w:val="both"/>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36"/>
          <w:szCs w:val="36"/>
        </w:rPr>
        <w:t>第一部分</w:t>
      </w:r>
      <w:r>
        <w:rPr>
          <w:rFonts w:hint="eastAsia" w:ascii="黑体" w:hAnsi="黑体" w:eastAsia="黑体" w:cs="黑体"/>
          <w:sz w:val="44"/>
          <w:szCs w:val="44"/>
        </w:rPr>
        <w:t>　　</w:t>
      </w:r>
      <w:r>
        <w:rPr>
          <w:rFonts w:hint="eastAsia" w:ascii="黑体" w:hAnsi="黑体" w:eastAsia="黑体" w:cs="黑体"/>
          <w:sz w:val="36"/>
          <w:szCs w:val="36"/>
        </w:rPr>
        <w:t>罗山县农机车辆监理所概况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spacing w:line="500" w:lineRule="exact"/>
        <w:ind w:firstLine="640" w:firstLineChars="200"/>
        <w:textAlignment w:val="baseline"/>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罗山县农机车辆监理所为罗山县农业机械化技术中心二级机构，负责农业机械的安全监理和执法工作；负责组织开展农机安全生产宣传教育工作；对行驶在乡道路的拖拉机、联合收割机进行交通安全执法监控；开展农机安全技术检验、登记入户、核发牌证及驾驶操作人员考核发证、安全检查和农机事故的调查处理和责任认定；负责农机监理各项业务统计。</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shd w:val="clear" w:color="auto" w:fill="FFFFFF"/>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罗山县农机车辆监理所包括：</w:t>
      </w:r>
    </w:p>
    <w:p>
      <w:pPr>
        <w:pStyle w:val="21"/>
        <w:numPr>
          <w:ilvl w:val="0"/>
          <w:numId w:val="2"/>
        </w:numPr>
        <w:shd w:val="clear" w:color="auto" w:fill="FFFFFF"/>
        <w:spacing w:line="600" w:lineRule="exact"/>
        <w:ind w:firstLineChars="0"/>
        <w:rPr>
          <w:rFonts w:ascii="仿宋_GB2312" w:eastAsia="仿宋_GB2312"/>
          <w:color w:val="000000"/>
          <w:sz w:val="32"/>
          <w:szCs w:val="32"/>
        </w:rPr>
      </w:pPr>
      <w:r>
        <w:rPr>
          <w:rFonts w:hint="eastAsia" w:ascii="仿宋_GB2312" w:eastAsia="仿宋_GB2312"/>
          <w:color w:val="000000"/>
          <w:sz w:val="32"/>
          <w:szCs w:val="32"/>
        </w:rPr>
        <w:t>罗山县农机车辆监理所</w:t>
      </w:r>
    </w:p>
    <w:p>
      <w:pPr>
        <w:shd w:val="clear" w:color="auto" w:fill="FFFFFF"/>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从决算单位构成看，</w:t>
      </w:r>
      <w:r>
        <w:rPr>
          <w:rFonts w:hint="eastAsia" w:ascii="仿宋_GB2312" w:eastAsia="仿宋_GB2312"/>
          <w:color w:val="000000"/>
          <w:sz w:val="32"/>
          <w:szCs w:val="32"/>
        </w:rPr>
        <w:t>罗山县农机车辆监理所</w:t>
      </w:r>
      <w:r>
        <w:rPr>
          <w:rFonts w:hint="eastAsia" w:ascii="仿宋_GB2312" w:hAnsi="仿宋_GB2312" w:eastAsia="仿宋_GB2312" w:cs="仿宋_GB2312"/>
          <w:sz w:val="32"/>
          <w:szCs w:val="32"/>
        </w:rPr>
        <w:t>决算包括：</w:t>
      </w:r>
      <w:r>
        <w:rPr>
          <w:rFonts w:hint="eastAsia" w:ascii="仿宋_GB2312" w:eastAsia="仿宋_GB2312"/>
          <w:color w:val="000000"/>
          <w:sz w:val="32"/>
          <w:szCs w:val="32"/>
        </w:rPr>
        <w:t>罗山县农机车辆监理所</w:t>
      </w:r>
      <w:r>
        <w:rPr>
          <w:rFonts w:hint="eastAsia" w:ascii="仿宋_GB2312" w:hAnsi="仿宋_GB2312" w:eastAsia="仿宋_GB2312" w:cs="仿宋_GB2312"/>
          <w:sz w:val="32"/>
          <w:szCs w:val="32"/>
        </w:rPr>
        <w:t>决算。纳入本部门202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年度部门决算编制范围的单位共1个：</w:t>
      </w:r>
      <w:r>
        <w:rPr>
          <w:rFonts w:hint="eastAsia" w:ascii="仿宋_GB2312" w:eastAsia="仿宋_GB2312"/>
          <w:color w:val="000000"/>
          <w:sz w:val="32"/>
          <w:szCs w:val="32"/>
        </w:rPr>
        <w:t>罗山县农机车辆监理所</w:t>
      </w:r>
    </w:p>
    <w:p>
      <w:pPr>
        <w:ind w:firstLine="640" w:firstLineChars="200"/>
        <w:rPr>
          <w:rFonts w:hint="eastAsia" w:ascii="仿宋_GB2312" w:hAnsi="仿宋_GB2312" w:eastAsia="仿宋_GB2312" w:cs="仿宋_GB2312"/>
          <w:sz w:val="32"/>
          <w:szCs w:val="32"/>
        </w:rPr>
      </w:pPr>
    </w:p>
    <w:p>
      <w:pPr>
        <w:pStyle w:val="21"/>
        <w:spacing w:line="600" w:lineRule="exact"/>
        <w:ind w:left="1135" w:firstLine="0" w:firstLineChars="0"/>
        <w:rPr>
          <w:rFonts w:ascii="黑体" w:hAnsi="黑体" w:eastAsia="黑体" w:cs="方正小标宋简体"/>
          <w:sz w:val="44"/>
          <w:szCs w:val="44"/>
        </w:rPr>
      </w:pPr>
    </w:p>
    <w:p>
      <w:pPr>
        <w:pStyle w:val="2"/>
      </w:pPr>
    </w:p>
    <w:p>
      <w:pPr>
        <w:jc w:val="center"/>
        <w:rPr>
          <w:rFonts w:ascii="仿宋_GB2312" w:hAnsi="仿宋_GB2312" w:eastAsia="仿宋_GB2312" w:cs="仿宋_GB2312"/>
          <w:sz w:val="32"/>
          <w:szCs w:val="32"/>
        </w:rPr>
      </w:pPr>
    </w:p>
    <w:p>
      <w:pPr>
        <w:pStyle w:val="2"/>
      </w:pPr>
    </w:p>
    <w:p>
      <w:pPr>
        <w:pStyle w:val="2"/>
      </w:pPr>
    </w:p>
    <w:p>
      <w:pPr>
        <w:pStyle w:val="2"/>
      </w:pPr>
    </w:p>
    <w:p>
      <w:pPr>
        <w:pStyle w:val="2"/>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第二部分</w:t>
      </w:r>
    </w:p>
    <w:p>
      <w:pPr>
        <w:jc w:val="center"/>
        <w:rPr>
          <w:sz w:val="36"/>
          <w:szCs w:val="36"/>
        </w:rPr>
      </w:pPr>
      <w:r>
        <w:rPr>
          <w:rFonts w:hint="eastAsia" w:ascii="黑体" w:hAnsi="黑体" w:eastAsia="黑体" w:cs="黑体"/>
          <w:sz w:val="36"/>
          <w:szCs w:val="36"/>
        </w:rPr>
        <w:t>农机车辆监理所202</w:t>
      </w:r>
      <w:r>
        <w:rPr>
          <w:rFonts w:hint="eastAsia" w:ascii="黑体" w:hAnsi="黑体" w:eastAsia="黑体" w:cs="黑体"/>
          <w:sz w:val="36"/>
          <w:szCs w:val="36"/>
          <w:lang w:val="en-US" w:eastAsia="zh-CN"/>
        </w:rPr>
        <w:t>2</w:t>
      </w:r>
      <w:r>
        <w:rPr>
          <w:rFonts w:hint="eastAsia" w:ascii="黑体" w:hAnsi="黑体" w:eastAsia="黑体" w:cs="黑体"/>
          <w:sz w:val="36"/>
          <w:szCs w:val="36"/>
        </w:rPr>
        <w:t>年度决算情况说明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6"/>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年度收、支总计均为</w:t>
      </w:r>
      <w:r>
        <w:rPr>
          <w:rFonts w:hint="eastAsia" w:ascii="仿宋_GB2312" w:eastAsia="仿宋_GB2312"/>
          <w:sz w:val="32"/>
          <w:szCs w:val="32"/>
          <w:lang w:val="en-US" w:eastAsia="zh-CN"/>
        </w:rPr>
        <w:t>74.39</w:t>
      </w:r>
      <w:r>
        <w:rPr>
          <w:rFonts w:hint="eastAsia" w:ascii="仿宋_GB2312" w:eastAsia="仿宋_GB2312"/>
          <w:sz w:val="32"/>
          <w:szCs w:val="32"/>
        </w:rPr>
        <w:t>万元。与上年度相比，收、支总计各</w:t>
      </w:r>
      <w:r>
        <w:rPr>
          <w:rFonts w:hint="eastAsia" w:ascii="仿宋_GB2312" w:eastAsia="仿宋_GB2312"/>
          <w:sz w:val="32"/>
          <w:szCs w:val="32"/>
          <w:lang w:val="en-US" w:eastAsia="zh-CN"/>
        </w:rPr>
        <w:t>增加14.92</w:t>
      </w:r>
      <w:r>
        <w:rPr>
          <w:rFonts w:hint="eastAsia" w:ascii="仿宋_GB2312" w:eastAsia="仿宋_GB2312"/>
          <w:sz w:val="32"/>
          <w:szCs w:val="32"/>
        </w:rPr>
        <w:t>万元，</w:t>
      </w:r>
      <w:r>
        <w:rPr>
          <w:rFonts w:hint="eastAsia" w:ascii="仿宋_GB2312" w:eastAsia="仿宋_GB2312"/>
          <w:sz w:val="32"/>
          <w:szCs w:val="32"/>
          <w:lang w:val="en-US" w:eastAsia="zh-CN"/>
        </w:rPr>
        <w:t>增长</w:t>
      </w:r>
      <w:r>
        <w:rPr>
          <w:rFonts w:hint="eastAsia" w:ascii="仿宋_GB2312" w:eastAsia="仿宋_GB2312"/>
          <w:sz w:val="32"/>
          <w:szCs w:val="32"/>
        </w:rPr>
        <w:t>2</w:t>
      </w:r>
      <w:r>
        <w:rPr>
          <w:rFonts w:hint="eastAsia" w:ascii="仿宋_GB2312" w:eastAsia="仿宋_GB2312"/>
          <w:sz w:val="32"/>
          <w:szCs w:val="32"/>
          <w:lang w:val="en-US" w:eastAsia="zh-CN"/>
        </w:rPr>
        <w:t>5.09</w:t>
      </w:r>
      <w:r>
        <w:rPr>
          <w:rFonts w:hint="eastAsia" w:ascii="仿宋_GB2312" w:eastAsia="仿宋_GB2312"/>
          <w:sz w:val="32"/>
          <w:szCs w:val="32"/>
        </w:rPr>
        <w:t>%。主要原因是</w:t>
      </w:r>
      <w:r>
        <w:rPr>
          <w:rFonts w:hint="eastAsia" w:ascii="仿宋_GB2312" w:eastAsia="仿宋_GB2312"/>
          <w:sz w:val="32"/>
          <w:szCs w:val="32"/>
          <w:lang w:val="en-US" w:eastAsia="zh-CN"/>
        </w:rPr>
        <w:t>人员增加</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年度收入合计</w:t>
      </w:r>
      <w:r>
        <w:rPr>
          <w:rFonts w:hint="eastAsia" w:ascii="仿宋_GB2312" w:eastAsia="仿宋_GB2312"/>
          <w:sz w:val="32"/>
          <w:szCs w:val="32"/>
          <w:lang w:val="en-US" w:eastAsia="zh-CN"/>
        </w:rPr>
        <w:t>74.39</w:t>
      </w:r>
      <w:r>
        <w:rPr>
          <w:rFonts w:hint="eastAsia" w:ascii="仿宋_GB2312" w:eastAsia="仿宋_GB2312"/>
          <w:sz w:val="32"/>
          <w:szCs w:val="32"/>
        </w:rPr>
        <w:t>万元，其中：财政拨款收入</w:t>
      </w:r>
      <w:r>
        <w:rPr>
          <w:rFonts w:hint="eastAsia" w:ascii="仿宋_GB2312" w:eastAsia="仿宋_GB2312"/>
          <w:sz w:val="32"/>
          <w:szCs w:val="32"/>
          <w:lang w:val="en-US" w:eastAsia="zh-CN"/>
        </w:rPr>
        <w:t>74.39</w:t>
      </w:r>
      <w:r>
        <w:rPr>
          <w:rFonts w:hint="eastAsia" w:ascii="仿宋_GB2312" w:eastAsia="仿宋_GB2312"/>
          <w:sz w:val="32"/>
          <w:szCs w:val="32"/>
        </w:rPr>
        <w:t>万元，占100%。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年度支出合计</w:t>
      </w:r>
      <w:r>
        <w:rPr>
          <w:rFonts w:hint="eastAsia" w:ascii="仿宋_GB2312" w:eastAsia="仿宋_GB2312"/>
          <w:sz w:val="32"/>
          <w:szCs w:val="32"/>
          <w:lang w:val="en-US" w:eastAsia="zh-CN"/>
        </w:rPr>
        <w:t>74.39</w:t>
      </w:r>
      <w:r>
        <w:rPr>
          <w:rFonts w:hint="eastAsia" w:ascii="仿宋_GB2312" w:eastAsia="仿宋_GB2312"/>
          <w:sz w:val="32"/>
          <w:szCs w:val="32"/>
        </w:rPr>
        <w:t>万元，其中：基本支出</w:t>
      </w:r>
      <w:r>
        <w:rPr>
          <w:rFonts w:hint="eastAsia" w:ascii="仿宋_GB2312" w:eastAsia="仿宋_GB2312"/>
          <w:sz w:val="32"/>
          <w:szCs w:val="32"/>
          <w:lang w:val="en-US" w:eastAsia="zh-CN"/>
        </w:rPr>
        <w:t>74.39</w:t>
      </w:r>
      <w:r>
        <w:rPr>
          <w:rFonts w:hint="eastAsia" w:ascii="仿宋_GB2312" w:eastAsia="仿宋_GB2312"/>
          <w:sz w:val="32"/>
          <w:szCs w:val="32"/>
        </w:rPr>
        <w:t xml:space="preserve">  万元，占100.00%。</w:t>
      </w:r>
      <w:r>
        <w:rPr>
          <w:rFonts w:ascii="仿宋_GB2312" w:hAnsi="仿宋_GB2312" w:eastAsia="仿宋_GB2312" w:cs="仿宋_GB2312"/>
          <w:sz w:val="32"/>
          <w:szCs w:val="32"/>
        </w:rPr>
        <w:t xml:space="preserve">项目支出 </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0.00</w:t>
      </w:r>
      <w:r>
        <w:rPr>
          <w:rFonts w:ascii="仿宋_GB2312" w:hAnsi="仿宋_GB2312" w:eastAsia="仿宋_GB2312" w:cs="仿宋_GB2312"/>
          <w:sz w:val="32"/>
          <w:szCs w:val="32"/>
        </w:rPr>
        <w:t>%；上缴上级支出0.00万元，占0.00%；经营支出0.00万元，占0.00%；对附属单位补助支出0.00万元，占0.00%。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年度财政拨款收、支总计均为</w:t>
      </w:r>
      <w:r>
        <w:rPr>
          <w:rFonts w:hint="eastAsia" w:ascii="仿宋_GB2312" w:eastAsia="仿宋_GB2312"/>
          <w:sz w:val="32"/>
          <w:szCs w:val="32"/>
          <w:lang w:val="en-US" w:eastAsia="zh-CN"/>
        </w:rPr>
        <w:t>74.39</w:t>
      </w:r>
      <w:r>
        <w:rPr>
          <w:rFonts w:hint="eastAsia" w:ascii="仿宋_GB2312" w:eastAsia="仿宋_GB2312"/>
          <w:sz w:val="32"/>
          <w:szCs w:val="32"/>
        </w:rPr>
        <w:t>万元。与上年度相比，财政拨款收、支总计各</w:t>
      </w:r>
      <w:r>
        <w:rPr>
          <w:rFonts w:hint="eastAsia" w:ascii="仿宋_GB2312" w:eastAsia="仿宋_GB2312"/>
          <w:sz w:val="32"/>
          <w:szCs w:val="32"/>
          <w:lang w:val="en-US" w:eastAsia="zh-CN"/>
        </w:rPr>
        <w:t>增加</w:t>
      </w:r>
      <w:r>
        <w:rPr>
          <w:rFonts w:hint="eastAsia" w:ascii="仿宋_GB2312" w:eastAsia="仿宋_GB2312"/>
          <w:sz w:val="32"/>
          <w:szCs w:val="32"/>
        </w:rPr>
        <w:t>24.61万元，</w:t>
      </w:r>
      <w:r>
        <w:rPr>
          <w:rFonts w:hint="eastAsia" w:ascii="仿宋_GB2312" w:eastAsia="仿宋_GB2312"/>
          <w:sz w:val="32"/>
          <w:szCs w:val="32"/>
          <w:lang w:val="en-US" w:eastAsia="zh-CN"/>
        </w:rPr>
        <w:t>增长25.09</w:t>
      </w:r>
      <w:r>
        <w:rPr>
          <w:rFonts w:hint="eastAsia" w:ascii="仿宋_GB2312" w:eastAsia="仿宋_GB2312"/>
          <w:sz w:val="32"/>
          <w:szCs w:val="32"/>
        </w:rPr>
        <w:t>%。主要原因是人员</w:t>
      </w:r>
      <w:r>
        <w:rPr>
          <w:rFonts w:hint="eastAsia" w:ascii="仿宋_GB2312" w:eastAsia="仿宋_GB2312"/>
          <w:sz w:val="32"/>
          <w:szCs w:val="32"/>
          <w:lang w:val="en-US" w:eastAsia="zh-CN"/>
        </w:rPr>
        <w:t>增加</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6"/>
        <w:shd w:val="clear" w:color="auto" w:fill="FFFFFF"/>
        <w:spacing w:before="0" w:beforeAutospacing="0" w:after="0" w:afterAutospacing="0"/>
        <w:ind w:left="160" w:leftChars="67" w:firstLine="480" w:firstLineChars="150"/>
        <w:rPr>
          <w:rFonts w:hint="eastAsia" w:ascii="仿宋_GB2312" w:eastAsia="仿宋_GB2312"/>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74.39</w:t>
      </w:r>
      <w:r>
        <w:rPr>
          <w:rFonts w:hint="eastAsia" w:ascii="仿宋_GB2312" w:eastAsia="仿宋_GB2312"/>
          <w:sz w:val="32"/>
          <w:szCs w:val="32"/>
        </w:rPr>
        <w:t>万元，占支出合计的100%。与上年度相比，一般公共预算财政拨款支出</w:t>
      </w:r>
      <w:r>
        <w:rPr>
          <w:rFonts w:hint="eastAsia" w:ascii="仿宋_GB2312" w:eastAsia="仿宋_GB2312"/>
          <w:sz w:val="32"/>
          <w:szCs w:val="32"/>
          <w:lang w:val="en-US" w:eastAsia="zh-CN"/>
        </w:rPr>
        <w:t>增加</w:t>
      </w:r>
      <w:r>
        <w:rPr>
          <w:rFonts w:hint="eastAsia" w:ascii="仿宋_GB2312" w:eastAsia="仿宋_GB2312"/>
          <w:sz w:val="32"/>
          <w:szCs w:val="32"/>
        </w:rPr>
        <w:t>24.61万元，</w:t>
      </w:r>
      <w:r>
        <w:rPr>
          <w:rFonts w:hint="eastAsia" w:ascii="仿宋_GB2312" w:eastAsia="仿宋_GB2312"/>
          <w:sz w:val="32"/>
          <w:szCs w:val="32"/>
          <w:lang w:val="en-US" w:eastAsia="zh-CN"/>
        </w:rPr>
        <w:t>增长25.09</w:t>
      </w:r>
      <w:r>
        <w:rPr>
          <w:rFonts w:hint="eastAsia" w:ascii="仿宋_GB2312" w:eastAsia="仿宋_GB2312"/>
          <w:sz w:val="32"/>
          <w:szCs w:val="32"/>
        </w:rPr>
        <w:t>%。主要原因是人员</w:t>
      </w:r>
      <w:r>
        <w:rPr>
          <w:rFonts w:hint="eastAsia" w:ascii="仿宋_GB2312" w:eastAsia="仿宋_GB2312"/>
          <w:sz w:val="32"/>
          <w:szCs w:val="32"/>
          <w:lang w:val="en-US" w:eastAsia="zh-CN"/>
        </w:rPr>
        <w:t>增加</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74.39</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74.39</w:t>
      </w:r>
      <w:r>
        <w:rPr>
          <w:rFonts w:hint="eastAsia" w:ascii="仿宋_GB2312" w:eastAsia="仿宋_GB2312"/>
          <w:sz w:val="32"/>
          <w:szCs w:val="32"/>
        </w:rPr>
        <w:t>万元，占100%。</w:t>
      </w:r>
      <w:r>
        <w:rPr>
          <w:rFonts w:hint="eastAsia" w:ascii="仿宋_GB2312" w:hAnsi="仿宋_GB2312" w:eastAsia="仿宋_GB2312" w:cs="仿宋_GB2312"/>
          <w:sz w:val="32"/>
          <w:szCs w:val="32"/>
        </w:rPr>
        <w:t>主要用于在职人员正常年度工资支出，同时缴纳社会保障费，以及公用经费支出。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6"/>
        <w:shd w:val="clear" w:color="auto" w:fill="FFFFFF"/>
        <w:spacing w:before="0" w:beforeAutospacing="0" w:after="0" w:afterAutospacing="0"/>
        <w:ind w:left="160" w:leftChars="67" w:firstLine="480" w:firstLineChars="150"/>
        <w:jc w:val="both"/>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年度一般公共预算财政拨款支出年初预算为</w:t>
      </w:r>
      <w:r>
        <w:rPr>
          <w:rFonts w:hint="eastAsia" w:ascii="仿宋_GB2312" w:eastAsia="仿宋_GB2312"/>
          <w:sz w:val="32"/>
          <w:szCs w:val="32"/>
          <w:lang w:val="en-US" w:eastAsia="zh-CN"/>
        </w:rPr>
        <w:t>74.39</w:t>
      </w:r>
      <w:r>
        <w:rPr>
          <w:rFonts w:hint="eastAsia" w:ascii="仿宋_GB2312" w:eastAsia="仿宋_GB2312"/>
          <w:sz w:val="32"/>
          <w:szCs w:val="32"/>
        </w:rPr>
        <w:t>万元，支出决算为</w:t>
      </w:r>
      <w:r>
        <w:rPr>
          <w:rFonts w:hint="eastAsia" w:ascii="仿宋_GB2312" w:eastAsia="仿宋_GB2312"/>
          <w:sz w:val="32"/>
          <w:szCs w:val="32"/>
          <w:lang w:val="en-US" w:eastAsia="zh-CN"/>
        </w:rPr>
        <w:t>74.39</w:t>
      </w:r>
      <w:r>
        <w:rPr>
          <w:rFonts w:hint="eastAsia" w:ascii="仿宋_GB2312" w:eastAsia="仿宋_GB2312"/>
          <w:sz w:val="32"/>
          <w:szCs w:val="32"/>
        </w:rPr>
        <w:t>万元，完成年初预算的100%。其中：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1．一般公共服务支出（类）其他一般公共服务支出（款） 其他一般公共服务支出（项）。年初预算为</w:t>
      </w:r>
      <w:r>
        <w:rPr>
          <w:rFonts w:hint="eastAsia" w:ascii="仿宋_GB2312" w:eastAsia="仿宋_GB2312"/>
          <w:sz w:val="32"/>
          <w:szCs w:val="32"/>
          <w:lang w:val="en-US" w:eastAsia="zh-CN"/>
        </w:rPr>
        <w:t>0.6</w:t>
      </w:r>
      <w:r>
        <w:rPr>
          <w:rFonts w:hint="eastAsia" w:ascii="仿宋_GB2312" w:eastAsia="仿宋_GB2312"/>
          <w:sz w:val="32"/>
          <w:szCs w:val="32"/>
        </w:rPr>
        <w:t>万元，支出决算为</w:t>
      </w:r>
      <w:r>
        <w:rPr>
          <w:rFonts w:hint="eastAsia" w:ascii="仿宋_GB2312" w:eastAsia="仿宋_GB2312"/>
          <w:sz w:val="32"/>
          <w:szCs w:val="32"/>
          <w:lang w:val="en-US" w:eastAsia="zh-CN"/>
        </w:rPr>
        <w:t>0.6</w:t>
      </w:r>
      <w:r>
        <w:rPr>
          <w:rFonts w:hint="eastAsia" w:ascii="仿宋_GB2312" w:eastAsia="仿宋_GB2312"/>
          <w:sz w:val="32"/>
          <w:szCs w:val="32"/>
        </w:rPr>
        <w:t>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2．社会保障和就业支出（类）人力资源和社会保障管理事务（款）行政运行（项）。年初预算为4.94万元，支出决算为4.94万元，完成年初预算的100%。决算数与年初预算数不存在差异。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w:t>
      </w:r>
      <w:r>
        <w:rPr>
          <w:rFonts w:hint="eastAsia" w:ascii="仿宋_GB2312" w:eastAsia="仿宋_GB2312"/>
          <w:sz w:val="32"/>
          <w:szCs w:val="32"/>
          <w:lang w:val="en-US" w:eastAsia="zh-CN"/>
        </w:rPr>
        <w:t>出</w:t>
      </w:r>
      <w:r>
        <w:rPr>
          <w:rFonts w:hint="eastAsia" w:ascii="仿宋_GB2312" w:eastAsia="仿宋_GB2312"/>
          <w:sz w:val="32"/>
          <w:szCs w:val="32"/>
        </w:rPr>
        <w:t>（项）。年初预算为</w:t>
      </w:r>
      <w:r>
        <w:rPr>
          <w:rFonts w:hint="eastAsia" w:ascii="仿宋_GB2312" w:eastAsia="仿宋_GB2312"/>
          <w:sz w:val="32"/>
          <w:szCs w:val="32"/>
          <w:lang w:val="en-US" w:eastAsia="zh-CN"/>
        </w:rPr>
        <w:t>0.97</w:t>
      </w:r>
      <w:r>
        <w:rPr>
          <w:rFonts w:hint="eastAsia" w:ascii="仿宋_GB2312" w:eastAsia="仿宋_GB2312"/>
          <w:sz w:val="32"/>
          <w:szCs w:val="32"/>
        </w:rPr>
        <w:t>万元，支出决算为</w:t>
      </w:r>
      <w:r>
        <w:rPr>
          <w:rFonts w:hint="eastAsia" w:ascii="仿宋_GB2312" w:eastAsia="仿宋_GB2312"/>
          <w:sz w:val="32"/>
          <w:szCs w:val="32"/>
          <w:lang w:val="en-US" w:eastAsia="zh-CN"/>
        </w:rPr>
        <w:t>0.97</w:t>
      </w:r>
      <w:r>
        <w:rPr>
          <w:rFonts w:hint="eastAsia" w:ascii="仿宋_GB2312" w:eastAsia="仿宋_GB2312"/>
          <w:sz w:val="32"/>
          <w:szCs w:val="32"/>
        </w:rPr>
        <w:t>万元，完成年初预算的100%。决算数与年初预算数不存在差异。</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卫生健康支出（类）行政事业单位医疗（款）事业单位医疗（项）</w:t>
      </w:r>
      <w:r>
        <w:rPr>
          <w:rFonts w:hint="eastAsia" w:ascii="仿宋_GB2312" w:eastAsia="仿宋_GB2312"/>
          <w:sz w:val="32"/>
          <w:szCs w:val="32"/>
        </w:rPr>
        <w:t>。年初预算为</w:t>
      </w:r>
      <w:r>
        <w:rPr>
          <w:rFonts w:hint="eastAsia" w:ascii="仿宋_GB2312" w:eastAsia="仿宋_GB2312"/>
          <w:sz w:val="32"/>
          <w:szCs w:val="32"/>
          <w:lang w:val="en-US" w:eastAsia="zh-CN"/>
        </w:rPr>
        <w:t>0.49</w:t>
      </w:r>
      <w:r>
        <w:rPr>
          <w:rFonts w:hint="eastAsia" w:ascii="仿宋_GB2312" w:eastAsia="仿宋_GB2312"/>
          <w:sz w:val="32"/>
          <w:szCs w:val="32"/>
        </w:rPr>
        <w:t>万元，支出决算为</w:t>
      </w:r>
      <w:r>
        <w:rPr>
          <w:rFonts w:hint="eastAsia" w:ascii="仿宋_GB2312" w:eastAsia="仿宋_GB2312"/>
          <w:sz w:val="32"/>
          <w:szCs w:val="32"/>
          <w:lang w:val="en-US" w:eastAsia="zh-CN"/>
        </w:rPr>
        <w:t>0.49</w:t>
      </w:r>
      <w:r>
        <w:rPr>
          <w:rFonts w:hint="eastAsia" w:ascii="仿宋_GB2312" w:eastAsia="仿宋_GB2312"/>
          <w:sz w:val="32"/>
          <w:szCs w:val="32"/>
        </w:rPr>
        <w:t>万元，完成年初预算的100%。决算数与年初预算数不存在差异。</w:t>
      </w:r>
    </w:p>
    <w:p>
      <w:pPr>
        <w:ind w:firstLine="640"/>
        <w:rPr>
          <w:rFonts w:hint="eastAsia" w:ascii="仿宋_GB2312" w:eastAsia="仿宋_GB2312"/>
          <w:sz w:val="32"/>
          <w:szCs w:val="32"/>
        </w:rPr>
      </w:pPr>
      <w:r>
        <w:rPr>
          <w:rFonts w:hint="eastAsia" w:ascii="仿宋_GB2312" w:hAnsi="仿宋_GB2312" w:eastAsia="仿宋_GB2312" w:cs="仿宋_GB2312"/>
          <w:sz w:val="32"/>
          <w:szCs w:val="32"/>
        </w:rPr>
        <w:t>5. 农林水支出（类）农业农村（款）行政运行（项）。年初预算</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农林水支出（类）农业农村（款）事业运行（项）。年初预算</w:t>
      </w:r>
      <w:r>
        <w:rPr>
          <w:rFonts w:hint="eastAsia" w:ascii="仿宋_GB2312" w:hAnsi="仿宋_GB2312" w:eastAsia="仿宋_GB2312" w:cs="仿宋_GB2312"/>
          <w:sz w:val="32"/>
          <w:szCs w:val="32"/>
          <w:lang w:val="en-US" w:eastAsia="zh-CN"/>
        </w:rPr>
        <w:t>63.72</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63.72</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ind w:firstLine="640"/>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住房保障支出（类）保障性安居工程支出（款）廉租住房（项）。年初预算</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万元，完成年初预算的100%。决算数与年初预算数不存在差异</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年度一般公共预算财政拨款基本支出</w:t>
      </w:r>
      <w:r>
        <w:rPr>
          <w:rFonts w:hint="eastAsia" w:ascii="仿宋_GB2312" w:eastAsia="仿宋_GB2312"/>
          <w:sz w:val="32"/>
          <w:szCs w:val="32"/>
          <w:lang w:val="en-US" w:eastAsia="zh-CN"/>
        </w:rPr>
        <w:t>74.39</w:t>
      </w:r>
      <w:r>
        <w:rPr>
          <w:rFonts w:hint="eastAsia" w:ascii="仿宋_GB2312" w:eastAsia="仿宋_GB2312"/>
          <w:sz w:val="32"/>
          <w:szCs w:val="32"/>
        </w:rPr>
        <w:t>万元。其中：人员经费</w:t>
      </w:r>
      <w:r>
        <w:rPr>
          <w:rFonts w:hint="eastAsia" w:ascii="仿宋_GB2312" w:eastAsia="仿宋_GB2312"/>
          <w:sz w:val="32"/>
          <w:szCs w:val="32"/>
          <w:lang w:val="en-US" w:eastAsia="zh-CN"/>
        </w:rPr>
        <w:t>44.79</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lang w:val="en-US" w:eastAsia="zh-CN"/>
        </w:rPr>
        <w:t>29.60</w:t>
      </w:r>
      <w:r>
        <w:rPr>
          <w:rFonts w:hint="eastAsia" w:ascii="仿宋_GB2312" w:eastAsia="仿宋_GB2312"/>
          <w:sz w:val="32"/>
          <w:szCs w:val="32"/>
        </w:rPr>
        <w:t>万元，主要包括：办公费、印刷费、咨询费、手续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年度“三公”经费财政拨款支出预算为</w:t>
      </w:r>
      <w:r>
        <w:rPr>
          <w:rFonts w:hint="eastAsia" w:ascii="仿宋_GB2312" w:eastAsia="仿宋_GB2312"/>
          <w:sz w:val="32"/>
          <w:szCs w:val="32"/>
          <w:lang w:val="en-US" w:eastAsia="zh-CN"/>
        </w:rPr>
        <w:t>0.91</w:t>
      </w:r>
      <w:r>
        <w:rPr>
          <w:rFonts w:hint="eastAsia" w:ascii="仿宋_GB2312" w:eastAsia="仿宋_GB2312"/>
          <w:sz w:val="32"/>
          <w:szCs w:val="32"/>
        </w:rPr>
        <w:t>万元，支出决算为0.91万元，完成预算的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年度“三公”经费财政拨款支出决算中，因公出国（境）费支出决算0.00万元，完成预算的 0.00%，占0.00%；公务用车购置及运行费支出决算0.00万元，完成预 算的0.00%，占0.00%；公务接待费支出决算</w:t>
      </w:r>
      <w:r>
        <w:rPr>
          <w:rFonts w:hint="eastAsia" w:ascii="仿宋_GB2312" w:eastAsia="仿宋_GB2312"/>
          <w:sz w:val="32"/>
          <w:szCs w:val="32"/>
          <w:lang w:val="en-US" w:eastAsia="zh-CN"/>
        </w:rPr>
        <w:t>0.91</w:t>
      </w:r>
      <w:r>
        <w:rPr>
          <w:rFonts w:hint="eastAsia" w:ascii="仿宋_GB2312" w:eastAsia="仿宋_GB2312"/>
          <w:sz w:val="32"/>
          <w:szCs w:val="32"/>
        </w:rPr>
        <w:t>万元，完成预算的 91%，占100.00%；具体情况如下：</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0.00万元，完成年初预算的0.00%。其中：</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公务用车运行支出0.00万元。202</w:t>
      </w:r>
      <w:r>
        <w:rPr>
          <w:rFonts w:hint="eastAsia" w:ascii="仿宋_GB2312" w:eastAsia="仿宋_GB2312"/>
          <w:sz w:val="32"/>
          <w:szCs w:val="32"/>
          <w:lang w:val="en-US" w:eastAsia="zh-CN"/>
        </w:rPr>
        <w:t>2</w:t>
      </w:r>
      <w:r>
        <w:rPr>
          <w:rFonts w:hint="eastAsia" w:ascii="仿宋_GB2312" w:eastAsia="仿宋_GB2312"/>
          <w:sz w:val="32"/>
          <w:szCs w:val="32"/>
        </w:rPr>
        <w:t>年期末，单位开支财政拨款的公务用车保有量为0辆。</w:t>
      </w:r>
    </w:p>
    <w:p>
      <w:pPr>
        <w:pStyle w:val="6"/>
        <w:numPr>
          <w:ilvl w:val="0"/>
          <w:numId w:val="3"/>
        </w:numPr>
        <w:shd w:val="clear" w:color="auto" w:fill="FFFFFF"/>
        <w:spacing w:before="0" w:beforeAutospacing="0" w:after="0" w:afterAutospacing="0"/>
        <w:ind w:left="160" w:leftChars="67" w:firstLine="480" w:firstLineChars="150"/>
        <w:rPr>
          <w:rFonts w:hint="eastAsia" w:ascii="仿宋_GB2312" w:eastAsia="仿宋_GB2312"/>
          <w:sz w:val="32"/>
          <w:szCs w:val="32"/>
          <w:lang w:eastAsia="zh-CN"/>
        </w:rPr>
      </w:pPr>
      <w:r>
        <w:rPr>
          <w:rFonts w:hint="eastAsia" w:ascii="仿宋_GB2312" w:eastAsia="仿宋_GB2312"/>
          <w:sz w:val="32"/>
          <w:szCs w:val="32"/>
        </w:rPr>
        <w:t>公务接待费年初预算为</w:t>
      </w:r>
      <w:r>
        <w:rPr>
          <w:rFonts w:hint="eastAsia" w:ascii="仿宋_GB2312" w:eastAsia="仿宋_GB2312"/>
          <w:sz w:val="32"/>
          <w:szCs w:val="32"/>
          <w:lang w:val="en-US" w:eastAsia="zh-CN"/>
        </w:rPr>
        <w:t>0.91</w:t>
      </w:r>
      <w:r>
        <w:rPr>
          <w:rFonts w:hint="eastAsia" w:ascii="仿宋_GB2312" w:eastAsia="仿宋_GB2312"/>
          <w:sz w:val="32"/>
          <w:szCs w:val="32"/>
        </w:rPr>
        <w:t>万元，支出决算为0.91万元，完成年初预算的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p>
    <w:p>
      <w:pPr>
        <w:pStyle w:val="6"/>
        <w:numPr>
          <w:numId w:val="0"/>
        </w:numPr>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其中：外宾接待支出0万元。202</w:t>
      </w:r>
      <w:r>
        <w:rPr>
          <w:rFonts w:hint="eastAsia" w:ascii="仿宋_GB2312" w:eastAsia="仿宋_GB2312"/>
          <w:sz w:val="32"/>
          <w:szCs w:val="32"/>
          <w:lang w:val="en-US" w:eastAsia="zh-CN"/>
        </w:rPr>
        <w:t>2</w:t>
      </w:r>
      <w:r>
        <w:rPr>
          <w:rFonts w:hint="eastAsia" w:ascii="仿宋_GB2312" w:eastAsia="仿宋_GB2312"/>
          <w:sz w:val="32"/>
          <w:szCs w:val="32"/>
        </w:rPr>
        <w:t>年共接待国（境）外来访团组0个、来访外宾0人次（不包括陪同人员）。其他国内公务接待支出</w:t>
      </w:r>
      <w:r>
        <w:rPr>
          <w:rFonts w:hint="eastAsia" w:ascii="仿宋_GB2312" w:eastAsia="仿宋_GB2312"/>
          <w:sz w:val="32"/>
          <w:szCs w:val="32"/>
          <w:lang w:val="en-US" w:eastAsia="zh-CN"/>
        </w:rPr>
        <w:t>0.91</w:t>
      </w:r>
      <w:r>
        <w:rPr>
          <w:rFonts w:hint="eastAsia" w:ascii="仿宋_GB2312" w:eastAsia="仿宋_GB2312"/>
          <w:sz w:val="32"/>
          <w:szCs w:val="32"/>
        </w:rPr>
        <w:t>万元。主要用于</w:t>
      </w:r>
      <w:r>
        <w:rPr>
          <w:rFonts w:hint="eastAsia" w:ascii="仿宋_GB2312" w:hAnsi="仿宋_GB2312" w:eastAsia="仿宋_GB2312" w:cs="仿宋_GB2312"/>
          <w:sz w:val="32"/>
          <w:szCs w:val="32"/>
        </w:rPr>
        <w:t>上级单位和其他县农机监理所到我中心检查指导、交流学习工作用餐及接待各乡镇关于农机业务交流</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年共接待国内来访团组</w:t>
      </w:r>
      <w:r>
        <w:rPr>
          <w:rFonts w:hint="eastAsia" w:ascii="仿宋_GB2312" w:eastAsia="仿宋_GB2312"/>
          <w:sz w:val="32"/>
          <w:szCs w:val="32"/>
          <w:lang w:val="en-US" w:eastAsia="zh-CN"/>
        </w:rPr>
        <w:t>8</w:t>
      </w:r>
      <w:r>
        <w:rPr>
          <w:rFonts w:hint="eastAsia" w:ascii="仿宋_GB2312" w:eastAsia="仿宋_GB2312"/>
          <w:sz w:val="32"/>
          <w:szCs w:val="32"/>
        </w:rPr>
        <w:t>个、来宾75人次（不包括陪同人员）。</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年，我单位纳入预算绩效管理的支出总额为</w:t>
      </w:r>
      <w:r>
        <w:rPr>
          <w:rFonts w:hint="eastAsia" w:ascii="仿宋_GB2312" w:hAnsi="仿宋_GB2312" w:eastAsia="仿宋_GB2312" w:cs="仿宋_GB2312"/>
          <w:sz w:val="32"/>
          <w:szCs w:val="32"/>
          <w:lang w:val="en-US" w:eastAsia="zh-CN"/>
        </w:rPr>
        <w:t>74.39</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44.79</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29.60</w:t>
      </w:r>
      <w:r>
        <w:rPr>
          <w:rFonts w:hint="eastAsia" w:ascii="仿宋_GB2312" w:hAnsi="仿宋_GB2312" w:eastAsia="仿宋_GB2312" w:cs="仿宋_GB2312"/>
          <w:sz w:val="32"/>
          <w:szCs w:val="32"/>
        </w:rPr>
        <w:t>万元；支出项目共0个，支出金额0万元。其中，进行项目绩效自评0个，自评金额0万元；纳入重点绩效评价（部门评价或财政评价）0个，评价金额0万元。</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年没有项目建设类资金支出。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（三）重点绩效评价结果。</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罗山县农机车辆监理所</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年未开展重点绩效评价。</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 xml:space="preserve"> 年度政府性基金预算财政拨款支出年初预算为0.00万元，支出决算为 0万元，完成年初预算的 0.00%。</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年度机关运行经费年初预算为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万元，我单位不是行政机关，也不是参照公务员管理事业单位，没有机关运行经费支出。</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政府采购支出总额0</w:t>
      </w:r>
      <w:r>
        <w:rPr>
          <w:rFonts w:ascii="仿宋_GB2312" w:eastAsia="仿宋_GB2312"/>
          <w:sz w:val="32"/>
          <w:szCs w:val="32"/>
        </w:rPr>
        <w:t>元，其中：政府采购货物支出</w:t>
      </w:r>
      <w:r>
        <w:rPr>
          <w:rFonts w:hint="eastAsia" w:ascii="仿宋_GB2312" w:eastAsia="仿宋_GB2312"/>
          <w:sz w:val="32"/>
          <w:szCs w:val="32"/>
        </w:rPr>
        <w:t>0</w:t>
      </w:r>
      <w:r>
        <w:rPr>
          <w:rFonts w:ascii="仿宋_GB2312" w:eastAsia="仿宋_GB2312"/>
          <w:sz w:val="32"/>
          <w:szCs w:val="32"/>
        </w:rPr>
        <w:t>万元、政府采购工程支出</w:t>
      </w:r>
      <w:r>
        <w:rPr>
          <w:rFonts w:hint="eastAsia" w:ascii="仿宋_GB2312" w:eastAsia="仿宋_GB2312"/>
          <w:sz w:val="32"/>
          <w:szCs w:val="32"/>
        </w:rPr>
        <w:t>0</w:t>
      </w:r>
      <w:r>
        <w:rPr>
          <w:rFonts w:ascii="仿宋_GB2312" w:eastAsia="仿宋_GB2312"/>
          <w:sz w:val="32"/>
          <w:szCs w:val="32"/>
        </w:rPr>
        <w:t>万元、政府采购服务支出</w:t>
      </w:r>
      <w:r>
        <w:rPr>
          <w:rFonts w:hint="eastAsia" w:ascii="仿宋_GB2312" w:eastAsia="仿宋_GB2312"/>
          <w:sz w:val="32"/>
          <w:szCs w:val="32"/>
        </w:rPr>
        <w:t>0</w:t>
      </w:r>
      <w:r>
        <w:rPr>
          <w:rFonts w:ascii="仿宋_GB2312" w:eastAsia="仿宋_GB2312"/>
          <w:sz w:val="32"/>
          <w:szCs w:val="32"/>
        </w:rPr>
        <w:t>万元。授予中小企业合同金额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%，其中授予小微企业合同金额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年期末，我单位共有车辆0辆，其中：执法执勤用车0辆；单位价值50万元以上通用设备0台（套），单位价值100万元以上专用设备 0台（套）。202</w:t>
      </w:r>
      <w:r>
        <w:rPr>
          <w:rFonts w:hint="eastAsia" w:ascii="仿宋_GB2312" w:eastAsia="仿宋_GB2312"/>
          <w:sz w:val="32"/>
          <w:szCs w:val="32"/>
          <w:lang w:val="en-US" w:eastAsia="zh-CN"/>
        </w:rPr>
        <w:t>2</w:t>
      </w:r>
      <w:r>
        <w:rPr>
          <w:rFonts w:ascii="仿宋_GB2312" w:eastAsia="仿宋_GB2312"/>
          <w:sz w:val="32"/>
          <w:szCs w:val="32"/>
        </w:rPr>
        <w:t>年，</w:t>
      </w:r>
      <w:r>
        <w:rPr>
          <w:rFonts w:hint="eastAsia" w:ascii="仿宋_GB2312" w:eastAsia="仿宋_GB2312"/>
          <w:sz w:val="32"/>
          <w:szCs w:val="32"/>
        </w:rPr>
        <w:t>农机车辆监理所</w:t>
      </w:r>
      <w:r>
        <w:rPr>
          <w:rFonts w:ascii="仿宋_GB2312" w:eastAsia="仿宋_GB2312"/>
          <w:sz w:val="32"/>
          <w:szCs w:val="32"/>
        </w:rPr>
        <w:t>共有车辆</w:t>
      </w:r>
      <w:r>
        <w:rPr>
          <w:rFonts w:hint="eastAsia" w:ascii="仿宋_GB2312" w:eastAsia="仿宋_GB2312"/>
          <w:sz w:val="32"/>
          <w:szCs w:val="32"/>
        </w:rPr>
        <w:t>0</w:t>
      </w:r>
      <w:r>
        <w:rPr>
          <w:rFonts w:ascii="仿宋_GB2312" w:eastAsia="仿宋_GB2312"/>
          <w:sz w:val="32"/>
          <w:szCs w:val="32"/>
        </w:rPr>
        <w:t>辆，其中：一般公务用车</w:t>
      </w:r>
      <w:r>
        <w:rPr>
          <w:rFonts w:hint="eastAsia" w:ascii="仿宋_GB2312" w:eastAsia="仿宋_GB2312"/>
          <w:sz w:val="32"/>
          <w:szCs w:val="32"/>
        </w:rPr>
        <w:t>0</w:t>
      </w:r>
      <w:r>
        <w:rPr>
          <w:rFonts w:ascii="仿宋_GB2312" w:eastAsia="仿宋_GB2312"/>
          <w:sz w:val="32"/>
          <w:szCs w:val="32"/>
        </w:rPr>
        <w:t>辆、一般执法执勤</w:t>
      </w:r>
      <w:r>
        <w:rPr>
          <w:rFonts w:hint="eastAsia" w:ascii="仿宋_GB2312" w:eastAsia="仿宋_GB2312"/>
          <w:sz w:val="32"/>
          <w:szCs w:val="32"/>
        </w:rPr>
        <w:t>0</w:t>
      </w:r>
      <w:r>
        <w:rPr>
          <w:rFonts w:ascii="仿宋_GB2312" w:eastAsia="仿宋_GB2312"/>
          <w:sz w:val="32"/>
          <w:szCs w:val="32"/>
        </w:rPr>
        <w:t>辆、特种专业技术用车</w:t>
      </w:r>
      <w:r>
        <w:rPr>
          <w:rFonts w:hint="eastAsia" w:ascii="仿宋_GB2312" w:eastAsia="仿宋_GB2312"/>
          <w:sz w:val="32"/>
          <w:szCs w:val="32"/>
        </w:rPr>
        <w:t>0</w:t>
      </w:r>
      <w:r>
        <w:rPr>
          <w:rFonts w:ascii="仿宋_GB2312" w:eastAsia="仿宋_GB2312"/>
          <w:sz w:val="32"/>
          <w:szCs w:val="32"/>
        </w:rPr>
        <w:t>辆，其他用车</w:t>
      </w:r>
      <w:r>
        <w:rPr>
          <w:rFonts w:hint="eastAsia" w:ascii="仿宋_GB2312" w:eastAsia="仿宋_GB2312"/>
          <w:sz w:val="32"/>
          <w:szCs w:val="32"/>
        </w:rPr>
        <w:t>0</w:t>
      </w:r>
      <w:r>
        <w:rPr>
          <w:rFonts w:ascii="仿宋_GB2312" w:eastAsia="仿宋_GB2312"/>
          <w:sz w:val="32"/>
          <w:szCs w:val="32"/>
        </w:rPr>
        <w:t>辆。单价50万元以上通用设备</w:t>
      </w:r>
      <w:r>
        <w:rPr>
          <w:rFonts w:hint="eastAsia" w:ascii="仿宋_GB2312" w:eastAsia="仿宋_GB2312"/>
          <w:sz w:val="32"/>
          <w:szCs w:val="32"/>
        </w:rPr>
        <w:t>0</w:t>
      </w:r>
      <w:r>
        <w:rPr>
          <w:rFonts w:ascii="仿宋_GB2312" w:eastAsia="仿宋_GB2312"/>
          <w:sz w:val="32"/>
          <w:szCs w:val="32"/>
        </w:rPr>
        <w:t>台（套），单位价值100万元以上专用设备</w:t>
      </w:r>
      <w:r>
        <w:rPr>
          <w:rFonts w:hint="eastAsia" w:ascii="仿宋_GB2312" w:eastAsia="仿宋_GB2312"/>
          <w:sz w:val="32"/>
          <w:szCs w:val="32"/>
        </w:rPr>
        <w:t>0</w:t>
      </w:r>
      <w:r>
        <w:rPr>
          <w:rFonts w:ascii="仿宋_GB2312" w:eastAsia="仿宋_GB2312"/>
          <w:sz w:val="32"/>
          <w:szCs w:val="32"/>
        </w:rPr>
        <w:t>台（套）。</w:t>
      </w:r>
    </w:p>
    <w:p>
      <w:pPr>
        <w:pStyle w:val="6"/>
        <w:shd w:val="clear" w:color="auto" w:fill="FFFFFF"/>
        <w:spacing w:before="0" w:beforeAutospacing="0" w:after="0" w:afterAutospacing="0"/>
        <w:ind w:left="160" w:leftChars="67" w:firstLine="480" w:firstLineChars="150"/>
        <w:rPr>
          <w:rFonts w:ascii="仿宋_GB2312" w:eastAsia="仿宋_GB2312"/>
          <w:sz w:val="32"/>
          <w:szCs w:val="32"/>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r>
        <w:rPr>
          <w:rFonts w:hint="eastAsia" w:ascii="黑体" w:hAnsi="黑体" w:eastAsia="黑体" w:cs="黑体"/>
          <w:sz w:val="36"/>
          <w:szCs w:val="36"/>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spacing w:line="590" w:lineRule="exact"/>
        <w:rPr>
          <w:rFonts w:ascii="仿宋_GB2312" w:hAnsi="仿宋_GB2312" w:eastAsia="仿宋_GB2312" w:cs="仿宋_GB2312"/>
          <w:sz w:val="32"/>
          <w:szCs w:val="32"/>
        </w:rPr>
      </w:pPr>
    </w:p>
    <w:p>
      <w:p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附件：罗山县农机车辆监理所202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年度决算表</w:t>
      </w:r>
    </w:p>
    <w:p>
      <w:bookmarkStart w:id="0" w:name="_GoBack"/>
      <w:bookmarkEnd w:id="0"/>
    </w:p>
    <w:sectPr>
      <w:pgSz w:w="11907" w:h="16840"/>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977D3"/>
    <w:multiLevelType w:val="singleLevel"/>
    <w:tmpl w:val="08C977D3"/>
    <w:lvl w:ilvl="0" w:tentative="0">
      <w:start w:val="3"/>
      <w:numFmt w:val="decimal"/>
      <w:suff w:val="space"/>
      <w:lvlText w:val="%1."/>
      <w:lvlJc w:val="left"/>
    </w:lvl>
  </w:abstractNum>
  <w:abstractNum w:abstractNumId="1">
    <w:nsid w:val="3C6C4A16"/>
    <w:multiLevelType w:val="multilevel"/>
    <w:tmpl w:val="3C6C4A16"/>
    <w:lvl w:ilvl="0" w:tentative="0">
      <w:start w:val="1"/>
      <w:numFmt w:val="decimal"/>
      <w:lvlText w:val="%1、"/>
      <w:lvlJc w:val="left"/>
      <w:pPr>
        <w:ind w:left="1135" w:hanging="49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GUxZDVhNjc4NjM1YzYyOGFiNzVjOTU1OWFhMDYifQ=="/>
  </w:docVars>
  <w:rsids>
    <w:rsidRoot w:val="00380C49"/>
    <w:rsid w:val="000125B5"/>
    <w:rsid w:val="0005518E"/>
    <w:rsid w:val="00097369"/>
    <w:rsid w:val="000A1213"/>
    <w:rsid w:val="000A3CAC"/>
    <w:rsid w:val="000A4F55"/>
    <w:rsid w:val="000C588A"/>
    <w:rsid w:val="000D3143"/>
    <w:rsid w:val="000D3621"/>
    <w:rsid w:val="000F3181"/>
    <w:rsid w:val="00103BA2"/>
    <w:rsid w:val="00110E98"/>
    <w:rsid w:val="001152C2"/>
    <w:rsid w:val="0015512F"/>
    <w:rsid w:val="0017302C"/>
    <w:rsid w:val="001C7E92"/>
    <w:rsid w:val="001D0AEF"/>
    <w:rsid w:val="001F7BC3"/>
    <w:rsid w:val="00223D27"/>
    <w:rsid w:val="002379B2"/>
    <w:rsid w:val="002E62A1"/>
    <w:rsid w:val="00315C96"/>
    <w:rsid w:val="0032010A"/>
    <w:rsid w:val="00380C49"/>
    <w:rsid w:val="003F4A12"/>
    <w:rsid w:val="003F61C8"/>
    <w:rsid w:val="004036BF"/>
    <w:rsid w:val="004244F7"/>
    <w:rsid w:val="004265B6"/>
    <w:rsid w:val="004368FC"/>
    <w:rsid w:val="00450C04"/>
    <w:rsid w:val="00463B25"/>
    <w:rsid w:val="00495722"/>
    <w:rsid w:val="004B0813"/>
    <w:rsid w:val="004C77BC"/>
    <w:rsid w:val="004D34F9"/>
    <w:rsid w:val="004E2DE2"/>
    <w:rsid w:val="004E4F52"/>
    <w:rsid w:val="004F121B"/>
    <w:rsid w:val="005059E1"/>
    <w:rsid w:val="005254EF"/>
    <w:rsid w:val="0054797B"/>
    <w:rsid w:val="00565FD6"/>
    <w:rsid w:val="005811FE"/>
    <w:rsid w:val="00582974"/>
    <w:rsid w:val="00594697"/>
    <w:rsid w:val="005C1FD2"/>
    <w:rsid w:val="005E3B17"/>
    <w:rsid w:val="0064000E"/>
    <w:rsid w:val="00687D7F"/>
    <w:rsid w:val="006A1C22"/>
    <w:rsid w:val="006A56AC"/>
    <w:rsid w:val="006B1102"/>
    <w:rsid w:val="006B3AC2"/>
    <w:rsid w:val="006C3CF4"/>
    <w:rsid w:val="006C602E"/>
    <w:rsid w:val="006D7A8D"/>
    <w:rsid w:val="006E0E5E"/>
    <w:rsid w:val="006E6106"/>
    <w:rsid w:val="00702673"/>
    <w:rsid w:val="00704477"/>
    <w:rsid w:val="007169BE"/>
    <w:rsid w:val="00793C2A"/>
    <w:rsid w:val="007B1462"/>
    <w:rsid w:val="008651E7"/>
    <w:rsid w:val="0087510B"/>
    <w:rsid w:val="008868A0"/>
    <w:rsid w:val="008B058C"/>
    <w:rsid w:val="008F0429"/>
    <w:rsid w:val="009008AB"/>
    <w:rsid w:val="00902C43"/>
    <w:rsid w:val="00937F9D"/>
    <w:rsid w:val="009F5C4D"/>
    <w:rsid w:val="00A05F60"/>
    <w:rsid w:val="00A14200"/>
    <w:rsid w:val="00A2257E"/>
    <w:rsid w:val="00A30250"/>
    <w:rsid w:val="00A30505"/>
    <w:rsid w:val="00A31666"/>
    <w:rsid w:val="00A706A3"/>
    <w:rsid w:val="00AA4F18"/>
    <w:rsid w:val="00AD2D60"/>
    <w:rsid w:val="00AD3ED7"/>
    <w:rsid w:val="00AE3448"/>
    <w:rsid w:val="00B07176"/>
    <w:rsid w:val="00B30B3E"/>
    <w:rsid w:val="00B3494A"/>
    <w:rsid w:val="00B8482A"/>
    <w:rsid w:val="00B9349F"/>
    <w:rsid w:val="00BB3E95"/>
    <w:rsid w:val="00C53051"/>
    <w:rsid w:val="00C73F3D"/>
    <w:rsid w:val="00CA1E5C"/>
    <w:rsid w:val="00CA503C"/>
    <w:rsid w:val="00CB1114"/>
    <w:rsid w:val="00CE118F"/>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19AC2167"/>
    <w:rsid w:val="1B972839"/>
    <w:rsid w:val="3617286C"/>
    <w:rsid w:val="37D23BDA"/>
    <w:rsid w:val="6BC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7"/>
    <w:unhideWhenUsed/>
    <w:uiPriority w:val="99"/>
    <w:pPr>
      <w:widowControl w:val="0"/>
      <w:jc w:val="both"/>
    </w:pPr>
    <w:rPr>
      <w:rFonts w:asciiTheme="minorHAnsi" w:hAnsiTheme="minorHAnsi" w:eastAsiaTheme="minorEastAsia" w:cstheme="minorBidi"/>
      <w:kern w:val="2"/>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unhideWhenUsed/>
    <w:qFormat/>
    <w:uiPriority w:val="99"/>
    <w:rPr>
      <w:color w:val="0000FF"/>
      <w:u w:val="single"/>
    </w:rPr>
  </w:style>
  <w:style w:type="character" w:customStyle="1" w:styleId="13">
    <w:name w:val="页眉 Char"/>
    <w:basedOn w:val="9"/>
    <w:link w:val="5"/>
    <w:uiPriority w:val="99"/>
    <w:rPr>
      <w:rFonts w:ascii="宋体" w:hAnsi="宋体" w:eastAsia="宋体" w:cs="宋体"/>
      <w:kern w:val="0"/>
      <w:sz w:val="18"/>
      <w:szCs w:val="18"/>
    </w:rPr>
  </w:style>
  <w:style w:type="character" w:customStyle="1" w:styleId="14">
    <w:name w:val="页脚 Char"/>
    <w:basedOn w:val="9"/>
    <w:link w:val="4"/>
    <w:qFormat/>
    <w:uiPriority w:val="99"/>
    <w:rPr>
      <w:rFonts w:ascii="宋体" w:hAnsi="宋体" w:eastAsia="宋体" w:cs="宋体"/>
      <w:kern w:val="0"/>
      <w:sz w:val="18"/>
      <w:szCs w:val="18"/>
    </w:rPr>
  </w:style>
  <w:style w:type="character" w:customStyle="1" w:styleId="15">
    <w:name w:val="批注框文本 Char"/>
    <w:qFormat/>
    <w:uiPriority w:val="99"/>
    <w:rPr>
      <w:sz w:val="18"/>
      <w:szCs w:val="18"/>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批注框文本 Char1"/>
    <w:basedOn w:val="9"/>
    <w:link w:val="3"/>
    <w:semiHidden/>
    <w:qFormat/>
    <w:uiPriority w:val="99"/>
    <w:rPr>
      <w:rFonts w:ascii="宋体" w:hAnsi="宋体" w:eastAsia="宋体" w:cs="宋体"/>
      <w:kern w:val="0"/>
      <w:sz w:val="18"/>
      <w:szCs w:val="18"/>
    </w:rPr>
  </w:style>
  <w:style w:type="character" w:customStyle="1" w:styleId="18">
    <w:name w:val="font51"/>
    <w:basedOn w:val="9"/>
    <w:qFormat/>
    <w:uiPriority w:val="0"/>
    <w:rPr>
      <w:rFonts w:hint="eastAsia" w:ascii="宋体" w:hAnsi="宋体" w:eastAsia="宋体" w:cs="宋体"/>
      <w:color w:val="000000"/>
      <w:sz w:val="24"/>
      <w:szCs w:val="24"/>
      <w:u w:val="none"/>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11"/>
    <w:basedOn w:val="9"/>
    <w:uiPriority w:val="0"/>
    <w:rPr>
      <w:rFonts w:hint="eastAsia" w:ascii="宋体" w:hAnsi="宋体" w:eastAsia="宋体" w:cs="宋体"/>
      <w:color w:val="000000"/>
      <w:sz w:val="20"/>
      <w:szCs w:val="20"/>
      <w:u w:val="none"/>
    </w:rPr>
  </w:style>
  <w:style w:type="paragraph" w:styleId="21">
    <w:name w:val="List Paragraph"/>
    <w:basedOn w:val="1"/>
    <w:qFormat/>
    <w:uiPriority w:val="34"/>
    <w:pPr>
      <w:widowControl w:val="0"/>
      <w:ind w:firstLine="420" w:firstLineChars="200"/>
      <w:jc w:val="both"/>
    </w:pPr>
    <w:rPr>
      <w:rFonts w:ascii="Times New Roman" w:hAnsi="Times New Roman" w:cs="Times New Roman"/>
      <w:kern w:val="2"/>
      <w:sz w:val="21"/>
      <w:szCs w:val="22"/>
    </w:rPr>
  </w:style>
  <w:style w:type="character" w:customStyle="1" w:styleId="22">
    <w:name w:val="页眉 Char1"/>
    <w:basedOn w:val="9"/>
    <w:semiHidden/>
    <w:uiPriority w:val="99"/>
    <w:rPr>
      <w:rFonts w:ascii="Times New Roman" w:hAnsi="Times New Roman" w:eastAsia="宋体" w:cs="Times New Roman"/>
      <w:sz w:val="18"/>
      <w:szCs w:val="18"/>
    </w:rPr>
  </w:style>
  <w:style w:type="character" w:customStyle="1" w:styleId="23">
    <w:name w:val="页脚 Char1"/>
    <w:basedOn w:val="9"/>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5181-3557-44D4-96E3-E3544B18D1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3999</Words>
  <Characters>4354</Characters>
  <Lines>32</Lines>
  <Paragraphs>9</Paragraphs>
  <TotalTime>2</TotalTime>
  <ScaleCrop>false</ScaleCrop>
  <LinksUpToDate>false</LinksUpToDate>
  <CharactersWithSpaces>4390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2021-10-25T03:57:00Z</dcterms:created>
  <dc:creator>Administrator</dc:creator>
  <cp:lastModifiedBy>企业用户_528698808</cp:lastModifiedBy>
  <cp:lastPrinted>2022-10-12T00:32:00Z</cp:lastPrinted>
  <dcterms:modified xsi:type="dcterms:W3CDTF">2023-09-25T03:29:45Z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DC05AB8EB25948E0A1EBA787C3FEE788_13</vt:lpwstr>
  </property>
</Properties>
</file>