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color w:val="002060"/>
          <w:sz w:val="32"/>
          <w:szCs w:val="32"/>
        </w:rPr>
      </w:pPr>
      <w:bookmarkStart w:id="6" w:name="_GoBack"/>
    </w:p>
    <w:p>
      <w:pPr>
        <w:snapToGrid w:val="0"/>
        <w:spacing w:line="20" w:lineRule="atLeast"/>
        <w:ind w:right="-206" w:rightChars="-100"/>
        <w:jc w:val="right"/>
        <w:rPr>
          <w:rFonts w:ascii="仿宋" w:hAnsi="仿宋" w:eastAsia="仿宋" w:cs="Times New Roman"/>
          <w:color w:val="002060"/>
          <w:sz w:val="2"/>
          <w:szCs w:val="2"/>
        </w:rPr>
      </w:pPr>
    </w:p>
    <w:p>
      <w:pPr>
        <w:rPr>
          <w:rFonts w:ascii="仿宋" w:hAnsi="仿宋" w:eastAsia="仿宋" w:cs="Times New Roman"/>
          <w:color w:val="002060"/>
          <w:sz w:val="32"/>
          <w:szCs w:val="32"/>
        </w:rPr>
      </w:pPr>
      <w:r>
        <w:rPr>
          <w:color w:val="FFFFFF"/>
          <w:sz w:val="2"/>
          <w:szCs w:val="2"/>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684530</wp:posOffset>
                </wp:positionV>
                <wp:extent cx="5715000" cy="1200150"/>
                <wp:effectExtent l="0" t="0" r="0" b="0"/>
                <wp:wrapNone/>
                <wp:docPr id="307" name="文本框 307"/>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noFill/>
                          <a:miter lim="800000"/>
                        </a:ln>
                        <a:effectLst/>
                      </wps:spPr>
                      <wps:txbx>
                        <w:txbxContent>
                          <w:p>
                            <w:pPr>
                              <w:ind w:right="-82" w:rightChars="-39"/>
                            </w:pPr>
                            <w:r>
                              <w:rPr>
                                <w:rFonts w:hint="eastAsia" w:ascii="方正小标宋简体" w:hAnsi="仿宋" w:eastAsia="方正小标宋简体"/>
                                <w:color w:val="FF0000"/>
                                <w:spacing w:val="40"/>
                                <w:w w:val="80"/>
                                <w:sz w:val="96"/>
                                <w:szCs w:val="32"/>
                              </w:rPr>
                              <w:t>罗山县烟草专卖局文件</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7.6pt;margin-top:53.9pt;height:94.5pt;width:450pt;z-index:251660288;mso-width-relative:margin;mso-height-relative:margin;" fillcolor="#FFFFFF" filled="t" stroked="f" coordsize="21600,21600" o:gfxdata="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3TPeRNcAAAAKAQAADwAAAAAAAAABACAAAAAiAAAA&#10;ZHJzL2Rvd25yZXYueG1sUEsBAhQAFAAAAAgAh07iQLg4inNBAgAAZQQAAA4AAAAAAAAAAQAgAAAA&#10;JgEAAGRycy9lMm9Eb2MueG1sUEsFBgAAAAAGAAYAWQEAANkFAAAAAA==&#10;">
                <v:fill on="t" focussize="0,0"/>
                <v:stroke on="f" miterlimit="8" joinstyle="miter"/>
                <v:imagedata o:title=""/>
                <o:lock v:ext="edit" aspectratio="f"/>
                <v:textbox>
                  <w:txbxContent>
                    <w:p>
                      <w:pPr>
                        <w:ind w:right="-82" w:rightChars="-39"/>
                      </w:pPr>
                      <w:r>
                        <w:rPr>
                          <w:rFonts w:hint="eastAsia" w:ascii="方正小标宋简体" w:hAnsi="仿宋" w:eastAsia="方正小标宋简体"/>
                          <w:color w:val="FF0000"/>
                          <w:spacing w:val="40"/>
                          <w:w w:val="80"/>
                          <w:sz w:val="96"/>
                          <w:szCs w:val="32"/>
                        </w:rPr>
                        <w:t>罗山县烟草专卖局文件</w:t>
                      </w:r>
                    </w:p>
                  </w:txbxContent>
                </v:textbox>
              </v:shape>
            </w:pict>
          </mc:Fallback>
        </mc:AlternateContent>
      </w:r>
      <w:r>
        <w:rPr>
          <w:color w:val="FFFFFF"/>
          <w:sz w:val="2"/>
          <w:szCs w:val="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2930525</wp:posOffset>
                </wp:positionV>
                <wp:extent cx="561975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619750" cy="0"/>
                        </a:xfrm>
                        <a:prstGeom prst="line">
                          <a:avLst/>
                        </a:prstGeom>
                        <a:noFill/>
                        <a:ln w="25400" cap="flat" cmpd="sng" algn="ctr">
                          <a:solidFill>
                            <a:srgbClr val="FF0000"/>
                          </a:solidFill>
                          <a:prstDash val="solid"/>
                        </a:ln>
                        <a:effectLst/>
                      </wps:spPr>
                      <wps:bodyPr/>
                    </wps:wsp>
                  </a:graphicData>
                </a:graphic>
              </wp:anchor>
            </w:drawing>
          </mc:Choice>
          <mc:Fallback>
            <w:pict>
              <v:line id="_x0000_s1026" o:spid="_x0000_s1026" o:spt="20" style="position:absolute;left:0pt;margin-left:-0.75pt;margin-top:230.75pt;height:0pt;width:442.5pt;z-index:251659264;mso-width-relative:margin;mso-height-relative:margin;" filled="f" stroked="t" coordsize="21600,21600" o:gfxdata="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kdWZ9YAAAAKAQAADwAA&#10;AAAAAAABACAAAAAiAAAAZHJzL2Rvd25yZXYueG1sUEsBAhQAFAAAAAgAh07iQFdlQ/vfAQAAqQMA&#10;AA4AAAAAAAAAAQAgAAAAJQEAAGRycy9lMm9Eb2MueG1sUEsFBgAAAAAGAAYAWQEAAHYFAAAAAA==&#10;">
                <v:fill on="f" focussize="0,0"/>
                <v:stroke weight="2pt" color="#FF0000" joinstyle="round"/>
                <v:imagedata o:title=""/>
                <o:lock v:ext="edit" aspectratio="f"/>
              </v:line>
            </w:pict>
          </mc:Fallback>
        </mc:AlternateContent>
      </w:r>
    </w:p>
    <w:p>
      <w:pPr>
        <w:rPr>
          <w:rFonts w:ascii="仿宋" w:hAnsi="仿宋" w:eastAsia="仿宋" w:cs="Times New Roman"/>
          <w:color w:val="002060"/>
          <w:sz w:val="32"/>
          <w:szCs w:val="32"/>
        </w:rPr>
      </w:pPr>
    </w:p>
    <w:p>
      <w:pPr>
        <w:rPr>
          <w:rFonts w:ascii="仿宋" w:hAnsi="仿宋" w:eastAsia="仿宋" w:cs="Times New Roman"/>
          <w:color w:val="002060"/>
          <w:sz w:val="32"/>
          <w:szCs w:val="32"/>
        </w:rPr>
      </w:pPr>
    </w:p>
    <w:p>
      <w:pPr>
        <w:rPr>
          <w:rFonts w:ascii="仿宋" w:hAnsi="仿宋" w:eastAsia="仿宋" w:cs="Times New Roman"/>
          <w:color w:val="002060"/>
          <w:sz w:val="32"/>
          <w:szCs w:val="32"/>
        </w:rPr>
      </w:pPr>
    </w:p>
    <w:p>
      <w:pPr>
        <w:rPr>
          <w:rFonts w:ascii="仿宋" w:hAnsi="仿宋" w:eastAsia="仿宋" w:cs="Times New Roman"/>
          <w:color w:val="002060"/>
          <w:sz w:val="32"/>
          <w:szCs w:val="32"/>
        </w:rPr>
      </w:pPr>
    </w:p>
    <w:p>
      <w:pPr>
        <w:rPr>
          <w:rFonts w:ascii="仿宋" w:hAnsi="仿宋" w:eastAsia="仿宋" w:cs="Times New Roman"/>
          <w:color w:val="002060"/>
          <w:sz w:val="32"/>
          <w:szCs w:val="32"/>
        </w:rPr>
      </w:pPr>
    </w:p>
    <w:p>
      <w:pPr>
        <w:rPr>
          <w:rFonts w:ascii="仿宋" w:hAnsi="仿宋" w:eastAsia="仿宋" w:cs="Times New Roman"/>
          <w:color w:val="002060"/>
          <w:sz w:val="32"/>
          <w:szCs w:val="32"/>
        </w:rPr>
      </w:pPr>
    </w:p>
    <w:p>
      <w:pPr>
        <w:jc w:val="center"/>
        <w:rPr>
          <w:rFonts w:ascii="仿宋" w:hAnsi="仿宋" w:eastAsia="仿宋" w:cs="Times New Roman"/>
          <w:color w:val="002060"/>
          <w:sz w:val="32"/>
          <w:szCs w:val="32"/>
        </w:rPr>
      </w:pPr>
      <w:bookmarkStart w:id="0" w:name="wenhao"/>
      <w:r>
        <w:rPr>
          <w:rFonts w:hint="eastAsia" w:ascii="仿宋" w:hAnsi="仿宋" w:eastAsia="仿宋" w:cs="Times New Roman"/>
          <w:color w:val="010000"/>
          <w:sz w:val="32"/>
          <w:szCs w:val="32"/>
        </w:rPr>
        <w:t>罗烟</w:t>
      </w:r>
      <w:r>
        <w:rPr>
          <w:rFonts w:ascii="仿宋" w:hAnsi="仿宋" w:eastAsia="仿宋" w:cs="Times New Roman"/>
          <w:color w:val="010000"/>
          <w:sz w:val="32"/>
          <w:szCs w:val="32"/>
        </w:rPr>
        <w:t xml:space="preserve"> 〔2022〕9号</w:t>
      </w:r>
      <w:bookmarkEnd w:id="0"/>
    </w:p>
    <w:p>
      <w:pPr>
        <w:jc w:val="center"/>
        <w:rPr>
          <w:rFonts w:ascii="仿宋" w:hAnsi="仿宋" w:eastAsia="仿宋" w:cs="Times New Roman"/>
          <w:color w:val="002060"/>
          <w:sz w:val="32"/>
          <w:szCs w:val="32"/>
        </w:rPr>
      </w:pPr>
    </w:p>
    <w:p>
      <w:pPr>
        <w:jc w:val="center"/>
        <w:rPr>
          <w:rFonts w:ascii="仿宋" w:hAnsi="仿宋" w:eastAsia="仿宋" w:cs="Times New Roman"/>
          <w:color w:val="002060"/>
          <w:sz w:val="32"/>
          <w:szCs w:val="32"/>
        </w:rPr>
      </w:pPr>
    </w:p>
    <w:p>
      <w:pPr>
        <w:spacing w:line="760" w:lineRule="exact"/>
        <w:jc w:val="center"/>
        <w:rPr>
          <w:rFonts w:ascii="方正小标宋简体" w:hAnsi="仿宋" w:eastAsia="方正小标宋简体" w:cs="Times New Roman"/>
          <w:color w:val="FF0000"/>
          <w:sz w:val="44"/>
          <w:szCs w:val="44"/>
        </w:rPr>
      </w:pPr>
      <w:bookmarkStart w:id="1" w:name="biaoti"/>
      <w:r>
        <w:rPr>
          <w:rFonts w:hint="eastAsia" w:ascii="方正小标宋简体" w:hAnsi="仿宋" w:eastAsia="方正小标宋简体" w:cs="Times New Roman"/>
          <w:color w:val="010000"/>
          <w:sz w:val="44"/>
          <w:szCs w:val="44"/>
        </w:rPr>
        <w:t>关于印发罗山县烟草专卖局行政权力和执法责任清单的通知</w:t>
      </w:r>
      <w:bookmarkEnd w:id="1"/>
    </w:p>
    <w:p>
      <w:pPr>
        <w:rPr>
          <w:rFonts w:ascii="仿宋" w:hAnsi="仿宋" w:eastAsia="仿宋" w:cs="仿宋"/>
          <w:sz w:val="32"/>
          <w:szCs w:val="32"/>
        </w:rPr>
      </w:pPr>
      <w:bookmarkStart w:id="2" w:name="zhusongdanwei"/>
      <w:bookmarkEnd w:id="2"/>
      <w:bookmarkStart w:id="3" w:name="zhengwen"/>
    </w:p>
    <w:p>
      <w:pPr>
        <w:rPr>
          <w:rFonts w:ascii="仿宋_GB2312" w:hAnsi="仿宋" w:eastAsia="仿宋_GB2312" w:cs="仿宋"/>
          <w:color w:val="000000"/>
          <w:sz w:val="32"/>
          <w:szCs w:val="32"/>
        </w:rPr>
      </w:pPr>
      <w:r>
        <w:rPr>
          <w:rFonts w:hint="eastAsia" w:ascii="仿宋" w:hAnsi="仿宋" w:eastAsia="仿宋" w:cs="仿宋"/>
          <w:color w:val="000000"/>
          <w:sz w:val="32"/>
          <w:szCs w:val="32"/>
        </w:rPr>
        <w:t>机关各科室、基层各部门</w:t>
      </w:r>
      <w:r>
        <w:rPr>
          <w:rFonts w:hint="eastAsia" w:ascii="仿宋_GB2312" w:hAnsi="仿宋" w:eastAsia="仿宋_GB2312" w:cs="仿宋"/>
          <w:color w:val="000000"/>
          <w:sz w:val="32"/>
          <w:szCs w:val="32"/>
        </w:rPr>
        <w:t>:</w:t>
      </w:r>
    </w:p>
    <w:p>
      <w:pPr>
        <w:widowControl/>
        <w:ind w:firstLine="640"/>
        <w:jc w:val="lef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现将《罗山县烟草专卖局行政权力和执法责任清单》印发给你们，请认真对照贯彻落实。</w:t>
      </w:r>
    </w:p>
    <w:p>
      <w:pPr>
        <w:widowControl/>
        <w:ind w:firstLine="640"/>
        <w:jc w:val="left"/>
        <w:rPr>
          <w:rFonts w:ascii="仿宋_GB2312" w:hAnsi="仿宋" w:eastAsia="仿宋_GB2312" w:cs="Times New Roman"/>
          <w:color w:val="000000"/>
          <w:sz w:val="32"/>
          <w:szCs w:val="32"/>
        </w:rPr>
      </w:pPr>
    </w:p>
    <w:p>
      <w:pPr>
        <w:widowControl/>
        <w:ind w:firstLine="640"/>
        <w:jc w:val="left"/>
        <w:rPr>
          <w:rFonts w:ascii="仿宋_GB2312" w:hAnsi="仿宋" w:eastAsia="仿宋_GB2312" w:cs="Times New Roman"/>
          <w:color w:val="000000"/>
          <w:sz w:val="32"/>
          <w:szCs w:val="32"/>
        </w:rPr>
      </w:pPr>
    </w:p>
    <w:p>
      <w:pPr>
        <w:ind w:left="285" w:firstLine="690"/>
        <w:jc w:val="righ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罗山县烟草专卖局</w:t>
      </w:r>
    </w:p>
    <w:p>
      <w:pPr>
        <w:ind w:firstLine="975"/>
        <w:jc w:val="right"/>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2022年4月22日</w:t>
      </w:r>
    </w:p>
    <w:p>
      <w:pPr>
        <w:widowControl/>
        <w:ind w:firstLine="640"/>
        <w:jc w:val="left"/>
        <w:rPr>
          <w:rFonts w:ascii="仿宋" w:hAnsi="仿宋" w:eastAsia="仿宋" w:cs="Times New Roman"/>
          <w:color w:val="000000"/>
          <w:sz w:val="32"/>
          <w:szCs w:val="32"/>
        </w:rPr>
        <w:sectPr>
          <w:pgSz w:w="11906" w:h="16838"/>
          <w:pgMar w:top="2098" w:right="1474" w:bottom="1985" w:left="1588" w:header="851" w:footer="992" w:gutter="0"/>
          <w:cols w:space="0" w:num="1"/>
          <w:docGrid w:type="linesAndChars" w:linePitch="579" w:charSpace="-886"/>
        </w:sectPr>
      </w:pPr>
    </w:p>
    <w:p>
      <w:pPr>
        <w:spacing w:line="680" w:lineRule="exact"/>
        <w:jc w:val="center"/>
        <w:rPr>
          <w:rFonts w:ascii="方正小标宋简体" w:hAnsi="仿宋" w:eastAsia="方正小标宋简体" w:cs="Times New Roman"/>
          <w:color w:val="000000"/>
          <w:sz w:val="44"/>
          <w:szCs w:val="44"/>
        </w:rPr>
      </w:pPr>
      <w:r>
        <w:rPr>
          <w:rFonts w:hint="eastAsia" w:ascii="方正小标宋简体" w:hAnsi="仿宋" w:eastAsia="方正小标宋简体" w:cs="方正小标宋简体"/>
          <w:color w:val="000000"/>
          <w:sz w:val="44"/>
          <w:szCs w:val="44"/>
        </w:rPr>
        <w:t>罗山县烟草专卖局行政执法权责清单</w:t>
      </w:r>
    </w:p>
    <w:p>
      <w:pPr>
        <w:spacing w:line="360" w:lineRule="exact"/>
        <w:jc w:val="center"/>
        <w:rPr>
          <w:rFonts w:ascii="仿宋" w:hAnsi="仿宋" w:eastAsia="仿宋" w:cs="Times New Roman"/>
          <w:color w:val="000000"/>
          <w:sz w:val="32"/>
        </w:rPr>
      </w:pPr>
      <w:r>
        <w:rPr>
          <w:rFonts w:hint="eastAsia" w:ascii="仿宋_GB2312" w:hAnsi="仿宋" w:eastAsia="仿宋_GB2312" w:cs="仿宋"/>
          <w:b/>
          <w:bCs/>
          <w:color w:val="000000"/>
          <w:sz w:val="32"/>
          <w:szCs w:val="32"/>
        </w:rPr>
        <w:t>（一）行政许可类</w:t>
      </w:r>
    </w:p>
    <w:tbl>
      <w:tblPr>
        <w:tblStyle w:val="7"/>
        <w:tblpPr w:leftFromText="180" w:rightFromText="180" w:vertAnchor="text" w:horzAnchor="margin" w:tblpXSpec="center" w:tblpY="273"/>
        <w:tblW w:w="15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3685"/>
        <w:gridCol w:w="3969"/>
        <w:gridCol w:w="709"/>
        <w:gridCol w:w="709"/>
        <w:gridCol w:w="4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85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名称</w:t>
            </w:r>
          </w:p>
        </w:tc>
        <w:tc>
          <w:tcPr>
            <w:tcW w:w="3685"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3969"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709"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办理</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期限</w:t>
            </w:r>
          </w:p>
        </w:tc>
        <w:tc>
          <w:tcPr>
            <w:tcW w:w="709"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收费情况</w:t>
            </w:r>
          </w:p>
        </w:tc>
        <w:tc>
          <w:tcPr>
            <w:tcW w:w="4402"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75"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许</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可</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851"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烟草专卖零售许可证核发</w:t>
            </w:r>
          </w:p>
        </w:tc>
        <w:tc>
          <w:tcPr>
            <w:tcW w:w="3685"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《中华人民共和国烟草专卖法》第三条：“国家对烟草专卖品的生产、销售、进出口依法实行专卖管理，并实行烟草专卖许可证制度。” 《中华人民共和国烟草专卖法》第十六条：“经营烟草制品零售业务的企业或者个人，由县级人民政府工商行政管理部门根据上一级烟草专卖行政主管部门的委托，审查批准发给烟草专卖零售许可证。已经设立县级烟草专卖行政主管部门的地方，也可以由县级烟草专卖行政主管部门审查批准发给烟草专卖零售许可证”。</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六条：“从事烟草专卖品的生产、批发、零售业务，以及经营烟草专卖品进出口业务和经营外国烟草制品购销业务的，必须依照《烟草专卖法》和本条例的规定，申请领取烟草专卖许可证。”</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《烟草专卖许可证管理办法》第八条：“公民、法人或者其他组织从事烟草专卖品的生产、批发、零售、进出口等业务的，应当依法向烟草专卖局申请领取烟草专卖许可证。”</w:t>
            </w:r>
          </w:p>
        </w:tc>
        <w:tc>
          <w:tcPr>
            <w:tcW w:w="3969" w:type="dxa"/>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1.受理责任：罗山县烟草专卖局行政服务大厅证件管理员接收行政许可申请材料；经形式审查后依法受理或不予受理；不予受理的依法告知申请人理由；申请材料不齐全的，当场或在5日内一次性告知申请人需补正的材料。</w:t>
            </w:r>
          </w:p>
        </w:tc>
        <w:tc>
          <w:tcPr>
            <w:tcW w:w="709" w:type="dxa"/>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当场或5日内</w:t>
            </w:r>
          </w:p>
        </w:tc>
        <w:tc>
          <w:tcPr>
            <w:tcW w:w="709"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否</w:t>
            </w:r>
          </w:p>
        </w:tc>
        <w:tc>
          <w:tcPr>
            <w:tcW w:w="4402"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烟草专卖局及其工作人员违反《烟草专卖许可证管理办法》的规定，有下列情形之一的，由其上级烟草专卖局责令改正；情节严重的，对直接负责的主管人员和其他直接责任人员依法给予行政处分：（一）对符合法定条件的申请不予受理的；（二）不在办公场所公示依法应当公示的材料的；（三）在受理、审查、发放烟草专卖许可证过程中，未向申请人、利害关系人履行法定告知义务的；（四）申请人提交的申请材料不齐全、不符合法定形式，不一次告知申请人必须补正全部内容的；（五）未依法说明不受理申请或者不发证理由的。</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烟草专卖局工作人员办理烟草专卖许可证或者依法进行监督检查时，索取、收受他人财物或者谋取其他利益的，依法给予行政处分；构成犯罪的，依法追究刑事责任。</w:t>
            </w:r>
          </w:p>
          <w:p>
            <w:pPr>
              <w:spacing w:line="240" w:lineRule="exact"/>
              <w:jc w:val="left"/>
              <w:rPr>
                <w:rFonts w:ascii="仿宋_GB2312" w:hAnsi="仿宋" w:eastAsia="仿宋_GB2312" w:cs="仿宋_GB2312"/>
                <w:color w:val="000000"/>
              </w:rPr>
            </w:pPr>
            <w:r>
              <w:rPr>
                <w:rFonts w:hint="eastAsia" w:ascii="仿宋_GB2312" w:hAnsi="仿宋" w:eastAsia="仿宋_GB2312" w:cs="仿宋_GB2312"/>
                <w:color w:val="000000"/>
              </w:rPr>
              <w:t>烟草专卖局发放烟草专卖许可证，有下列情形之一的，由其上级烟草专卖局责令改正，对直接负责的主管人员和其他直接责任人员依法给予行政处分；构成犯罪的，依法追究刑事责任：（一）对不符合法定条件的申请人发放烟草专卖许可证或者超越法定职权发放烟草专卖许可证的；（二）对符合法定条件的申请人不予发放烟草专卖许可证或者不在法定期限内发放烟草专卖许可证的。</w:t>
            </w:r>
          </w:p>
          <w:p>
            <w:pPr>
              <w:widowControl/>
              <w:jc w:val="left"/>
              <w:rPr>
                <w:rFonts w:ascii="仿宋_GB2312" w:hAnsi="仿宋"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15000" w:type="dxa"/>
            <w:vMerge w:val="continue"/>
            <w:vAlign w:val="center"/>
          </w:tcPr>
          <w:p>
            <w:pPr>
              <w:widowControl/>
              <w:jc w:val="left"/>
              <w:rPr>
                <w:rFonts w:ascii="仿宋_GB2312" w:hAnsi="仿宋" w:eastAsia="仿宋_GB2312" w:cs="Times New Roman"/>
                <w:color w:val="000000"/>
              </w:rPr>
            </w:pPr>
          </w:p>
        </w:tc>
        <w:tc>
          <w:tcPr>
            <w:tcW w:w="851" w:type="dxa"/>
            <w:vMerge w:val="continue"/>
            <w:vAlign w:val="center"/>
          </w:tcPr>
          <w:p>
            <w:pPr>
              <w:widowControl/>
              <w:jc w:val="left"/>
              <w:rPr>
                <w:rFonts w:ascii="仿宋_GB2312" w:hAnsi="仿宋" w:eastAsia="仿宋_GB2312" w:cs="Times New Roman"/>
                <w:color w:val="000000"/>
              </w:rPr>
            </w:pPr>
          </w:p>
        </w:tc>
        <w:tc>
          <w:tcPr>
            <w:tcW w:w="3685" w:type="dxa"/>
            <w:vMerge w:val="continue"/>
            <w:vAlign w:val="center"/>
          </w:tcPr>
          <w:p>
            <w:pPr>
              <w:widowControl/>
              <w:jc w:val="left"/>
              <w:rPr>
                <w:rFonts w:ascii="仿宋_GB2312" w:hAnsi="仿宋" w:eastAsia="仿宋_GB2312" w:cs="Times New Roman"/>
                <w:color w:val="000000"/>
              </w:rPr>
            </w:pPr>
          </w:p>
        </w:tc>
        <w:tc>
          <w:tcPr>
            <w:tcW w:w="3969" w:type="dxa"/>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2.审查和审批责任：经审查，申请人的申请符合法定条件的，罗山县烟草专卖局应当自受理申请之日起8个工作日内作出许可书面决定。8日内不能作出决定的，经本单位负责人批准，可以延长4日，并应当将延长期限理由告知申请人。但法律、法规另有规定的，依照其规定。</w:t>
            </w:r>
          </w:p>
        </w:tc>
        <w:tc>
          <w:tcPr>
            <w:tcW w:w="709" w:type="dxa"/>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8日，最长为12日</w:t>
            </w:r>
          </w:p>
        </w:tc>
        <w:tc>
          <w:tcPr>
            <w:tcW w:w="709" w:type="dxa"/>
            <w:vMerge w:val="continue"/>
            <w:vAlign w:val="center"/>
          </w:tcPr>
          <w:p>
            <w:pPr>
              <w:widowControl/>
              <w:jc w:val="left"/>
              <w:rPr>
                <w:rFonts w:ascii="仿宋_GB2312" w:hAnsi="仿宋" w:eastAsia="仿宋_GB2312" w:cs="Times New Roman"/>
                <w:color w:val="000000"/>
              </w:rPr>
            </w:pPr>
          </w:p>
        </w:tc>
        <w:tc>
          <w:tcPr>
            <w:tcW w:w="440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5000" w:type="dxa"/>
            <w:vMerge w:val="continue"/>
            <w:vAlign w:val="center"/>
          </w:tcPr>
          <w:p>
            <w:pPr>
              <w:widowControl/>
              <w:jc w:val="left"/>
              <w:rPr>
                <w:rFonts w:ascii="仿宋_GB2312" w:hAnsi="仿宋" w:eastAsia="仿宋_GB2312" w:cs="Times New Roman"/>
                <w:color w:val="000000"/>
              </w:rPr>
            </w:pPr>
          </w:p>
        </w:tc>
        <w:tc>
          <w:tcPr>
            <w:tcW w:w="851" w:type="dxa"/>
            <w:vMerge w:val="continue"/>
            <w:vAlign w:val="center"/>
          </w:tcPr>
          <w:p>
            <w:pPr>
              <w:widowControl/>
              <w:jc w:val="left"/>
              <w:rPr>
                <w:rFonts w:ascii="仿宋_GB2312" w:hAnsi="仿宋" w:eastAsia="仿宋_GB2312" w:cs="Times New Roman"/>
                <w:color w:val="000000"/>
              </w:rPr>
            </w:pPr>
          </w:p>
        </w:tc>
        <w:tc>
          <w:tcPr>
            <w:tcW w:w="3685" w:type="dxa"/>
            <w:vMerge w:val="continue"/>
            <w:vAlign w:val="center"/>
          </w:tcPr>
          <w:p>
            <w:pPr>
              <w:widowControl/>
              <w:jc w:val="left"/>
              <w:rPr>
                <w:rFonts w:ascii="仿宋_GB2312" w:hAnsi="仿宋" w:eastAsia="仿宋_GB2312" w:cs="Times New Roman"/>
                <w:color w:val="000000"/>
              </w:rPr>
            </w:pPr>
          </w:p>
        </w:tc>
        <w:tc>
          <w:tcPr>
            <w:tcW w:w="3969" w:type="dxa"/>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3.送达责任：罗山县烟草专卖局应当自作出予以发放烟草专卖许可证决定之日起10日内向申请人送达烟草专卖许可证；对于准予许可决定，应当公开供公众查询。</w:t>
            </w:r>
          </w:p>
        </w:tc>
        <w:tc>
          <w:tcPr>
            <w:tcW w:w="709" w:type="dxa"/>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10日</w:t>
            </w:r>
          </w:p>
        </w:tc>
        <w:tc>
          <w:tcPr>
            <w:tcW w:w="709" w:type="dxa"/>
            <w:vMerge w:val="continue"/>
            <w:vAlign w:val="center"/>
          </w:tcPr>
          <w:p>
            <w:pPr>
              <w:widowControl/>
              <w:jc w:val="left"/>
              <w:rPr>
                <w:rFonts w:ascii="仿宋_GB2312" w:hAnsi="仿宋" w:eastAsia="仿宋_GB2312" w:cs="Times New Roman"/>
                <w:color w:val="000000"/>
              </w:rPr>
            </w:pPr>
          </w:p>
        </w:tc>
        <w:tc>
          <w:tcPr>
            <w:tcW w:w="440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5000" w:type="dxa"/>
            <w:vMerge w:val="continue"/>
            <w:vAlign w:val="center"/>
          </w:tcPr>
          <w:p>
            <w:pPr>
              <w:widowControl/>
              <w:jc w:val="left"/>
              <w:rPr>
                <w:rFonts w:ascii="仿宋_GB2312" w:hAnsi="仿宋" w:eastAsia="仿宋_GB2312" w:cs="Times New Roman"/>
                <w:color w:val="000000"/>
              </w:rPr>
            </w:pPr>
          </w:p>
        </w:tc>
        <w:tc>
          <w:tcPr>
            <w:tcW w:w="851" w:type="dxa"/>
            <w:vMerge w:val="continue"/>
            <w:vAlign w:val="center"/>
          </w:tcPr>
          <w:p>
            <w:pPr>
              <w:widowControl/>
              <w:jc w:val="left"/>
              <w:rPr>
                <w:rFonts w:ascii="仿宋_GB2312" w:hAnsi="仿宋" w:eastAsia="仿宋_GB2312" w:cs="Times New Roman"/>
                <w:color w:val="000000"/>
              </w:rPr>
            </w:pPr>
          </w:p>
        </w:tc>
        <w:tc>
          <w:tcPr>
            <w:tcW w:w="3685" w:type="dxa"/>
            <w:vMerge w:val="continue"/>
            <w:vAlign w:val="center"/>
          </w:tcPr>
          <w:p>
            <w:pPr>
              <w:widowControl/>
              <w:jc w:val="left"/>
              <w:rPr>
                <w:rFonts w:ascii="仿宋_GB2312" w:hAnsi="仿宋" w:eastAsia="仿宋_GB2312" w:cs="Times New Roman"/>
                <w:color w:val="000000"/>
              </w:rPr>
            </w:pPr>
          </w:p>
        </w:tc>
        <w:tc>
          <w:tcPr>
            <w:tcW w:w="3969" w:type="dxa"/>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4.事后监管责任：上级烟草专卖行政主管部门有权对下级烟草专卖行政主管部门办理烟草专卖许可证的情况进行监督检查。</w:t>
            </w:r>
          </w:p>
        </w:tc>
        <w:tc>
          <w:tcPr>
            <w:tcW w:w="709" w:type="dxa"/>
            <w:vAlign w:val="center"/>
          </w:tcPr>
          <w:p>
            <w:pPr>
              <w:spacing w:line="240" w:lineRule="exact"/>
              <w:jc w:val="center"/>
              <w:rPr>
                <w:rFonts w:ascii="仿宋_GB2312" w:hAnsi="仿宋" w:eastAsia="仿宋_GB2312" w:cs="Times New Roman"/>
                <w:color w:val="000000"/>
              </w:rPr>
            </w:pPr>
          </w:p>
        </w:tc>
        <w:tc>
          <w:tcPr>
            <w:tcW w:w="709" w:type="dxa"/>
            <w:vMerge w:val="continue"/>
            <w:vAlign w:val="center"/>
          </w:tcPr>
          <w:p>
            <w:pPr>
              <w:widowControl/>
              <w:jc w:val="left"/>
              <w:rPr>
                <w:rFonts w:ascii="仿宋_GB2312" w:hAnsi="仿宋" w:eastAsia="仿宋_GB2312" w:cs="Times New Roman"/>
                <w:color w:val="000000"/>
              </w:rPr>
            </w:pPr>
          </w:p>
        </w:tc>
        <w:tc>
          <w:tcPr>
            <w:tcW w:w="440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5000" w:type="dxa"/>
            <w:vMerge w:val="continue"/>
            <w:vAlign w:val="center"/>
          </w:tcPr>
          <w:p>
            <w:pPr>
              <w:widowControl/>
              <w:jc w:val="left"/>
              <w:rPr>
                <w:rFonts w:ascii="仿宋_GB2312" w:hAnsi="仿宋" w:eastAsia="仿宋_GB2312" w:cs="Times New Roman"/>
                <w:color w:val="000000"/>
              </w:rPr>
            </w:pPr>
          </w:p>
        </w:tc>
        <w:tc>
          <w:tcPr>
            <w:tcW w:w="851" w:type="dxa"/>
            <w:vMerge w:val="continue"/>
            <w:vAlign w:val="center"/>
          </w:tcPr>
          <w:p>
            <w:pPr>
              <w:widowControl/>
              <w:jc w:val="left"/>
              <w:rPr>
                <w:rFonts w:ascii="仿宋_GB2312" w:hAnsi="仿宋" w:eastAsia="仿宋_GB2312" w:cs="Times New Roman"/>
                <w:color w:val="000000"/>
              </w:rPr>
            </w:pPr>
          </w:p>
        </w:tc>
        <w:tc>
          <w:tcPr>
            <w:tcW w:w="3685" w:type="dxa"/>
            <w:vMerge w:val="continue"/>
            <w:vAlign w:val="center"/>
          </w:tcPr>
          <w:p>
            <w:pPr>
              <w:widowControl/>
              <w:jc w:val="left"/>
              <w:rPr>
                <w:rFonts w:ascii="仿宋_GB2312" w:hAnsi="仿宋" w:eastAsia="仿宋_GB2312" w:cs="Times New Roman"/>
                <w:color w:val="000000"/>
              </w:rPr>
            </w:pPr>
          </w:p>
        </w:tc>
        <w:tc>
          <w:tcPr>
            <w:tcW w:w="3969" w:type="dxa"/>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5.法律、法规、规章规定的其他应履行的责任事项。</w:t>
            </w:r>
          </w:p>
        </w:tc>
        <w:tc>
          <w:tcPr>
            <w:tcW w:w="709" w:type="dxa"/>
            <w:vAlign w:val="center"/>
          </w:tcPr>
          <w:p>
            <w:pPr>
              <w:spacing w:line="240" w:lineRule="exact"/>
              <w:jc w:val="center"/>
              <w:rPr>
                <w:rFonts w:ascii="仿宋_GB2312" w:hAnsi="仿宋" w:eastAsia="仿宋_GB2312" w:cs="Times New Roman"/>
                <w:color w:val="000000"/>
              </w:rPr>
            </w:pPr>
          </w:p>
        </w:tc>
        <w:tc>
          <w:tcPr>
            <w:tcW w:w="709" w:type="dxa"/>
            <w:vMerge w:val="continue"/>
            <w:vAlign w:val="center"/>
          </w:tcPr>
          <w:p>
            <w:pPr>
              <w:widowControl/>
              <w:jc w:val="left"/>
              <w:rPr>
                <w:rFonts w:ascii="仿宋_GB2312" w:hAnsi="仿宋" w:eastAsia="仿宋_GB2312" w:cs="Times New Roman"/>
                <w:color w:val="000000"/>
              </w:rPr>
            </w:pPr>
          </w:p>
        </w:tc>
        <w:tc>
          <w:tcPr>
            <w:tcW w:w="440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000" w:type="dxa"/>
            <w:gridSpan w:val="7"/>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服务地点：罗山县行政服务中心三楼烟草窗口</w:t>
            </w:r>
          </w:p>
        </w:tc>
      </w:tr>
    </w:tbl>
    <w:p>
      <w:pPr>
        <w:jc w:val="center"/>
        <w:rPr>
          <w:rFonts w:ascii="仿宋" w:hAnsi="仿宋" w:eastAsia="仿宋" w:cs="Times New Roman"/>
          <w:b/>
          <w:bCs/>
          <w:color w:val="000000"/>
          <w:sz w:val="32"/>
          <w:szCs w:val="32"/>
        </w:rPr>
      </w:pPr>
      <w:r>
        <w:rPr>
          <w:rFonts w:hint="eastAsia" w:ascii="仿宋" w:hAnsi="仿宋" w:eastAsia="仿宋" w:cs="仿宋_GB2312"/>
          <w:b/>
          <w:bCs/>
          <w:color w:val="000000"/>
          <w:sz w:val="32"/>
          <w:szCs w:val="32"/>
        </w:rPr>
        <w:t>（二）行政处罚类</w:t>
      </w:r>
    </w:p>
    <w:tbl>
      <w:tblPr>
        <w:tblStyle w:val="7"/>
        <w:tblW w:w="15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40"/>
        <w:gridCol w:w="669"/>
        <w:gridCol w:w="57"/>
        <w:gridCol w:w="5277"/>
        <w:gridCol w:w="3031"/>
        <w:gridCol w:w="2066"/>
        <w:gridCol w:w="1195"/>
        <w:gridCol w:w="1782"/>
        <w:gridCol w:w="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trHeight w:val="687" w:hRule="atLeast"/>
          <w:jc w:val="center"/>
        </w:trPr>
        <w:tc>
          <w:tcPr>
            <w:tcW w:w="720" w:type="dxa"/>
            <w:gridSpan w:val="2"/>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726" w:type="dxa"/>
            <w:gridSpan w:val="2"/>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5276"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096" w:type="dxa"/>
            <w:gridSpan w:val="2"/>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2977" w:type="dxa"/>
            <w:gridSpan w:val="2"/>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trHeight w:val="1002" w:hRule="atLeast"/>
          <w:jc w:val="center"/>
        </w:trPr>
        <w:tc>
          <w:tcPr>
            <w:tcW w:w="720" w:type="dxa"/>
            <w:gridSpan w:val="2"/>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726" w:type="dxa"/>
            <w:gridSpan w:val="2"/>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擅自收购烟叶处罚</w:t>
            </w:r>
          </w:p>
        </w:tc>
        <w:tc>
          <w:tcPr>
            <w:tcW w:w="5276"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第二十八条：“违反本法规定擅自收购烟叶的，由烟草专卖行政主管部门处以罚款，并按照查获地省级烟草专卖行政主管部门出具的上年度烟叶平均收购价格的百分之七十收购违法收购的烟叶；数量巨大的，没收违法收购的烟叶和违法所得。”</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五十一条：“依照《烟草专卖法》第二十八条规定处罚的，按照下列规定执行：（一）擅自收购烟叶的，可以处非法收购烟叶价值20%以上50%以下的罚款，并按照查获地省级烟草专卖行政主管部门出具的上年度烟叶平均收购价格的70%收购违法收购的烟叶。（二）擅自收购烟叶1000公斤以上的，依法没收其违法收购的烟叶和违法所得。”</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河南省烟草专卖管理条例》第三十二条第一款：“违反本条例规定擅自收购烟叶的，由烟草专卖行政主管部门处以所收购烟叶价值百分之二十以上百分之五十以下的罚款，并按照国家规定的价格收购违法收购的烟叶；擅自收购烟叶一千公斤以上的，依法没收其违法收购的烟叶和违法所得。”</w:t>
            </w:r>
          </w:p>
        </w:tc>
        <w:tc>
          <w:tcPr>
            <w:tcW w:w="5096" w:type="dxa"/>
            <w:gridSpan w:val="2"/>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2977" w:type="dxa"/>
            <w:gridSpan w:val="2"/>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trHeight w:val="1021" w:hRule="atLeast"/>
          <w:jc w:val="center"/>
        </w:trPr>
        <w:tc>
          <w:tcPr>
            <w:tcW w:w="600" w:type="dxa"/>
            <w:gridSpan w:val="2"/>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5096" w:type="dxa"/>
            <w:gridSpan w:val="2"/>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4961"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trHeight w:val="984" w:hRule="atLeast"/>
          <w:jc w:val="center"/>
        </w:trPr>
        <w:tc>
          <w:tcPr>
            <w:tcW w:w="600" w:type="dxa"/>
            <w:gridSpan w:val="2"/>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5096" w:type="dxa"/>
            <w:gridSpan w:val="2"/>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4961"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trHeight w:val="992" w:hRule="atLeast"/>
          <w:jc w:val="center"/>
        </w:trPr>
        <w:tc>
          <w:tcPr>
            <w:tcW w:w="600" w:type="dxa"/>
            <w:gridSpan w:val="2"/>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5096" w:type="dxa"/>
            <w:gridSpan w:val="2"/>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4961"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trHeight w:val="408" w:hRule="atLeast"/>
          <w:jc w:val="center"/>
        </w:trPr>
        <w:tc>
          <w:tcPr>
            <w:tcW w:w="600" w:type="dxa"/>
            <w:gridSpan w:val="2"/>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5096" w:type="dxa"/>
            <w:gridSpan w:val="2"/>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4961"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trHeight w:val="647" w:hRule="atLeast"/>
          <w:jc w:val="center"/>
        </w:trPr>
        <w:tc>
          <w:tcPr>
            <w:tcW w:w="600" w:type="dxa"/>
            <w:gridSpan w:val="2"/>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5096" w:type="dxa"/>
            <w:gridSpan w:val="2"/>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4961"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trHeight w:val="787" w:hRule="atLeast"/>
          <w:jc w:val="center"/>
        </w:trPr>
        <w:tc>
          <w:tcPr>
            <w:tcW w:w="600" w:type="dxa"/>
            <w:gridSpan w:val="2"/>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5096" w:type="dxa"/>
            <w:gridSpan w:val="2"/>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4961"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trHeight w:val="443" w:hRule="atLeast"/>
          <w:jc w:val="center"/>
        </w:trPr>
        <w:tc>
          <w:tcPr>
            <w:tcW w:w="600" w:type="dxa"/>
            <w:gridSpan w:val="2"/>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5096" w:type="dxa"/>
            <w:gridSpan w:val="2"/>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4961"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2" w:type="dxa"/>
          <w:trHeight w:val="603" w:hRule="atLeast"/>
          <w:jc w:val="center"/>
        </w:trPr>
        <w:tc>
          <w:tcPr>
            <w:tcW w:w="14795" w:type="dxa"/>
            <w:gridSpan w:val="9"/>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80" w:type="dxa"/>
            <w:vAlign w:val="center"/>
          </w:tcPr>
          <w:p>
            <w:pPr>
              <w:spacing w:line="350" w:lineRule="exact"/>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35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709" w:type="dxa"/>
            <w:gridSpan w:val="2"/>
            <w:vAlign w:val="center"/>
          </w:tcPr>
          <w:p>
            <w:pPr>
              <w:spacing w:line="35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35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名称</w:t>
            </w:r>
          </w:p>
        </w:tc>
        <w:tc>
          <w:tcPr>
            <w:tcW w:w="8363" w:type="dxa"/>
            <w:gridSpan w:val="3"/>
            <w:vAlign w:val="center"/>
          </w:tcPr>
          <w:p>
            <w:pPr>
              <w:spacing w:line="35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3261" w:type="dxa"/>
            <w:gridSpan w:val="2"/>
            <w:vAlign w:val="center"/>
          </w:tcPr>
          <w:p>
            <w:pPr>
              <w:spacing w:line="35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1984" w:type="dxa"/>
            <w:gridSpan w:val="2"/>
            <w:vAlign w:val="center"/>
          </w:tcPr>
          <w:p>
            <w:pPr>
              <w:spacing w:line="35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80" w:type="dxa"/>
            <w:vMerge w:val="restart"/>
            <w:vAlign w:val="center"/>
          </w:tcPr>
          <w:p>
            <w:pPr>
              <w:spacing w:line="35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35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35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35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35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709" w:type="dxa"/>
            <w:gridSpan w:val="2"/>
            <w:vMerge w:val="restart"/>
            <w:vAlign w:val="center"/>
          </w:tcPr>
          <w:p>
            <w:pPr>
              <w:spacing w:line="350" w:lineRule="exact"/>
              <w:jc w:val="left"/>
              <w:rPr>
                <w:rFonts w:ascii="仿宋_GB2312" w:hAnsi="仿宋" w:eastAsia="仿宋_GB2312" w:cs="Times New Roman"/>
                <w:color w:val="000000"/>
              </w:rPr>
            </w:pPr>
            <w:r>
              <w:rPr>
                <w:rFonts w:hint="eastAsia" w:ascii="仿宋_GB2312" w:hAnsi="仿宋" w:eastAsia="仿宋_GB2312" w:cs="仿宋_GB2312"/>
                <w:color w:val="000000"/>
              </w:rPr>
              <w:t>无证运输烟草专卖品处罚</w:t>
            </w:r>
          </w:p>
        </w:tc>
        <w:tc>
          <w:tcPr>
            <w:tcW w:w="8363" w:type="dxa"/>
            <w:gridSpan w:val="3"/>
            <w:vMerge w:val="restart"/>
            <w:vAlign w:val="center"/>
          </w:tcPr>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《中华人民共和国烟草专卖法》第二十一条： “托运或者自运烟草专卖品必须持有烟草专卖行政主管部门或者烟草专卖行政主管部门授权的机构签发的准运证；无准运证的，承运人不得承运。”</w:t>
            </w:r>
          </w:p>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第二十九条：“无准运证或者超过准运证规定的数量托运或者自运烟草专卖品的，由烟草专卖行政主管部门处以罚款，可以按照查获地省级烟草专卖行政主管部门出具的上年度烟叶平均收购价格的百分之七十收购违法运输的烟叶，按照市场批发价格的百分之七十收购违法运输的除烟叶外的其他烟草专卖品；情节严重的，没收违法运输的烟草专卖品和违法所得。</w:t>
            </w:r>
          </w:p>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承运人明知是烟草专卖品而为无准运证的单位、个人运输的，由烟草专卖行政主管部门没收违法所得，并处罚款。</w:t>
            </w:r>
          </w:p>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超过国家规定的限量异地携带烟叶、烟草制品，数量较大的，依照第一款的规定处理。”</w:t>
            </w:r>
          </w:p>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三十三条：“跨省、自治区、直辖市运输进口的烟草专卖品、国产烟草专用机械和烟用丝束、滤嘴棒以及分切的进口卷烟纸，应当凭国务院烟草专卖行政主管部门或其授权的机构签发的烟草专卖品准运证办理托运或者自运。</w:t>
            </w:r>
          </w:p>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跨省、自治区、直辖市运输除国产烟草专用机械、烟用丝束、滤嘴棒以及分切的进口卷烟纸以外的其他国产烟草专卖品，应当凭国务院烟草专卖行政主管部门或省级烟草专卖行政主管部门签发的烟草专卖品准运证办理托运或者自运。</w:t>
            </w:r>
          </w:p>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在省、自治区、直辖市内跨市、县运输的烟草专卖品，应当凭省级烟草专卖行政主管部门或其授权的机构签发的烟草专卖品准运办理托运或者自运。</w:t>
            </w:r>
          </w:p>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运输依法没收的走私烟草专卖品，应当凭国务院烟草专卖行政主管部门签发的烟草专卖品准运证办理托运或者自运。”</w:t>
            </w:r>
          </w:p>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第三十四条：“有下列情形之一的，为无烟草专卖品准运证运输烟草专卖品：（一）超过烟草专卖品准运证规定数量和范围运输烟草专卖品的；（二）使用过期、涂改、复印的烟草专卖品准运证的；（三）无烟草专卖品准运证又无法提供在当地购买烟草专卖品的有效证明的；（四）无烟草专卖品准运证运输烟草专卖品的其他行为。”</w:t>
            </w:r>
          </w:p>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第五十二条：“依照《烟草专卖法》第二十九条规定处罚的，按照下列规定执行：（一）无准运证或者超过准运证规定的数量托运或者自运烟草专卖品的，处以违法运输的烟草专卖品价值20%以上50%以下的罚款，可以按照查获地省级烟草专卖行政主管部门出具的上年度烟叶的平均收购价格的70%收购违法运输的烟叶，以及按照市场批发价格的70%收购违法运输的除烟叶外的其他烟草制品”。（二）有下列情形之一的，没收违法运输的烟草专卖品和违法所得：1、非法运输的烟草专卖品价值超过5万元或者运输卷烟数量超过100件（每1万支为1件）的；2、被烟草专卖行政主管部门处罚两次以上的；3、抗拒烟草专卖行政主管部门的监督检查人员依法实施检查的；4、非法运输走私烟草专卖品的；5、运输无烟草专卖生产企业许可证的企业生产的烟草专卖品的；6、利用伪装非法运输烟草专卖品的；7、利用特种车辆运输烟草专卖品逃避检查的；8、其他非法运输行为，情节严重的。（三）承运人明知是烟草专卖品而为无准运证的单位、个人运输的，没收违法所得，可以并处违法运输的烟草专卖品价值10%以上20%以下的罚款。（四）邮寄、异地携带烟叶、烟草制品超过国务院有关部门规定的限量一倍以上的，依照本条第（一）项的规定处罚；……”《河南省烟草专卖管理条例》第三十三条：“无准运证或者超过准运证规定的数量托运或者自运烟草专卖品的，由烟草专卖行政主管部门处以违法运输的烟草专卖品总值百分之二十以上百分之五十以下的罚款，可以按照国家规定收购违法运输的烟草专卖品；情节严重的，没收违法运输的烟草专卖品和违法所得。</w:t>
            </w:r>
          </w:p>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承运人明知是烟草专卖品而为无准运证的单位、个人运输的，由烟草专卖行政主管部门没收违法所得，并处以违法运输烟草专卖品总值百分之二十以下的罚款。</w:t>
            </w:r>
          </w:p>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超过规定限量异地邮寄、携带烟草制品的，依照本条第一款的规定处理。”</w:t>
            </w:r>
          </w:p>
        </w:tc>
        <w:tc>
          <w:tcPr>
            <w:tcW w:w="3261" w:type="dxa"/>
            <w:gridSpan w:val="2"/>
            <w:vAlign w:val="center"/>
          </w:tcPr>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1984" w:type="dxa"/>
            <w:gridSpan w:val="2"/>
            <w:vMerge w:val="restart"/>
            <w:vAlign w:val="center"/>
          </w:tcPr>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5996" w:type="dxa"/>
            <w:gridSpan w:val="3"/>
            <w:vMerge w:val="continue"/>
            <w:vAlign w:val="center"/>
          </w:tcPr>
          <w:p>
            <w:pPr>
              <w:widowControl/>
              <w:jc w:val="left"/>
              <w:rPr>
                <w:rFonts w:ascii="仿宋_GB2312" w:hAnsi="仿宋" w:eastAsia="仿宋_GB2312" w:cs="Times New Roman"/>
                <w:color w:val="000000"/>
              </w:rPr>
            </w:pPr>
          </w:p>
        </w:tc>
        <w:tc>
          <w:tcPr>
            <w:tcW w:w="3261" w:type="dxa"/>
            <w:gridSpan w:val="2"/>
            <w:vAlign w:val="center"/>
          </w:tcPr>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2188"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5996" w:type="dxa"/>
            <w:gridSpan w:val="3"/>
            <w:vMerge w:val="continue"/>
            <w:vAlign w:val="center"/>
          </w:tcPr>
          <w:p>
            <w:pPr>
              <w:widowControl/>
              <w:jc w:val="left"/>
              <w:rPr>
                <w:rFonts w:ascii="仿宋_GB2312" w:hAnsi="仿宋" w:eastAsia="仿宋_GB2312" w:cs="Times New Roman"/>
                <w:color w:val="000000"/>
              </w:rPr>
            </w:pPr>
          </w:p>
        </w:tc>
        <w:tc>
          <w:tcPr>
            <w:tcW w:w="3261" w:type="dxa"/>
            <w:gridSpan w:val="2"/>
            <w:vAlign w:val="center"/>
          </w:tcPr>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2188"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5996" w:type="dxa"/>
            <w:gridSpan w:val="3"/>
            <w:vMerge w:val="continue"/>
            <w:vAlign w:val="center"/>
          </w:tcPr>
          <w:p>
            <w:pPr>
              <w:widowControl/>
              <w:jc w:val="left"/>
              <w:rPr>
                <w:rFonts w:ascii="仿宋_GB2312" w:hAnsi="仿宋" w:eastAsia="仿宋_GB2312" w:cs="Times New Roman"/>
                <w:color w:val="000000"/>
              </w:rPr>
            </w:pPr>
          </w:p>
        </w:tc>
        <w:tc>
          <w:tcPr>
            <w:tcW w:w="3261" w:type="dxa"/>
            <w:gridSpan w:val="2"/>
            <w:vAlign w:val="center"/>
          </w:tcPr>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2188"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5996" w:type="dxa"/>
            <w:gridSpan w:val="3"/>
            <w:vMerge w:val="continue"/>
            <w:vAlign w:val="center"/>
          </w:tcPr>
          <w:p>
            <w:pPr>
              <w:widowControl/>
              <w:jc w:val="left"/>
              <w:rPr>
                <w:rFonts w:ascii="仿宋_GB2312" w:hAnsi="仿宋" w:eastAsia="仿宋_GB2312" w:cs="Times New Roman"/>
                <w:color w:val="000000"/>
              </w:rPr>
            </w:pPr>
          </w:p>
        </w:tc>
        <w:tc>
          <w:tcPr>
            <w:tcW w:w="3261" w:type="dxa"/>
            <w:gridSpan w:val="2"/>
            <w:vAlign w:val="center"/>
          </w:tcPr>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2188"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5996" w:type="dxa"/>
            <w:gridSpan w:val="3"/>
            <w:vMerge w:val="continue"/>
            <w:vAlign w:val="center"/>
          </w:tcPr>
          <w:p>
            <w:pPr>
              <w:widowControl/>
              <w:jc w:val="left"/>
              <w:rPr>
                <w:rFonts w:ascii="仿宋_GB2312" w:hAnsi="仿宋" w:eastAsia="仿宋_GB2312" w:cs="Times New Roman"/>
                <w:color w:val="000000"/>
              </w:rPr>
            </w:pPr>
          </w:p>
        </w:tc>
        <w:tc>
          <w:tcPr>
            <w:tcW w:w="3261" w:type="dxa"/>
            <w:gridSpan w:val="2"/>
            <w:vAlign w:val="center"/>
          </w:tcPr>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2188"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5996" w:type="dxa"/>
            <w:gridSpan w:val="3"/>
            <w:vMerge w:val="continue"/>
            <w:vAlign w:val="center"/>
          </w:tcPr>
          <w:p>
            <w:pPr>
              <w:widowControl/>
              <w:jc w:val="left"/>
              <w:rPr>
                <w:rFonts w:ascii="仿宋_GB2312" w:hAnsi="仿宋" w:eastAsia="仿宋_GB2312" w:cs="Times New Roman"/>
                <w:color w:val="000000"/>
              </w:rPr>
            </w:pPr>
          </w:p>
        </w:tc>
        <w:tc>
          <w:tcPr>
            <w:tcW w:w="3261" w:type="dxa"/>
            <w:gridSpan w:val="2"/>
            <w:vAlign w:val="center"/>
          </w:tcPr>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2188"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5996" w:type="dxa"/>
            <w:gridSpan w:val="3"/>
            <w:vMerge w:val="continue"/>
            <w:vAlign w:val="center"/>
          </w:tcPr>
          <w:p>
            <w:pPr>
              <w:widowControl/>
              <w:jc w:val="left"/>
              <w:rPr>
                <w:rFonts w:ascii="仿宋_GB2312" w:hAnsi="仿宋" w:eastAsia="仿宋_GB2312" w:cs="Times New Roman"/>
                <w:color w:val="000000"/>
              </w:rPr>
            </w:pPr>
          </w:p>
        </w:tc>
        <w:tc>
          <w:tcPr>
            <w:tcW w:w="3261" w:type="dxa"/>
            <w:gridSpan w:val="2"/>
            <w:vAlign w:val="center"/>
          </w:tcPr>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2188"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997" w:type="dxa"/>
            <w:gridSpan w:val="10"/>
            <w:vAlign w:val="center"/>
          </w:tcPr>
          <w:p>
            <w:pPr>
              <w:spacing w:line="35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rPr>
          <w:rFonts w:ascii="仿宋" w:hAnsi="仿宋" w:eastAsia="仿宋" w:cs="Times New Roman"/>
          <w:b/>
          <w:bCs/>
          <w:color w:val="000000"/>
          <w:sz w:val="32"/>
        </w:rPr>
      </w:pPr>
    </w:p>
    <w:tbl>
      <w:tblPr>
        <w:tblStyle w:val="7"/>
        <w:tblW w:w="14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71"/>
        <w:gridCol w:w="5385"/>
        <w:gridCol w:w="4705"/>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67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名称</w:t>
            </w:r>
          </w:p>
        </w:tc>
        <w:tc>
          <w:tcPr>
            <w:tcW w:w="5386"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4706"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232"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671" w:type="dxa"/>
            <w:vMerge w:val="restart"/>
            <w:vAlign w:val="center"/>
          </w:tcPr>
          <w:p>
            <w:pPr>
              <w:widowControl/>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无证生产烟草制品</w:t>
            </w:r>
          </w:p>
          <w:p>
            <w:pPr>
              <w:spacing w:line="240" w:lineRule="exact"/>
              <w:jc w:val="left"/>
              <w:rPr>
                <w:rFonts w:ascii="仿宋_GB2312" w:hAnsi="仿宋" w:eastAsia="仿宋_GB2312" w:cs="Times New Roman"/>
                <w:color w:val="000000"/>
              </w:rPr>
            </w:pPr>
          </w:p>
        </w:tc>
        <w:tc>
          <w:tcPr>
            <w:tcW w:w="5386"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中华人民共和国烟草专卖法》第十二条：“开办烟草制品生产企业，必须经国务院烟草专卖行政主管部门批准，取得烟草专卖生产企业许可证，并经工商行政管理部门核准登记；其分立、合并、撤销，必须经国务院烟草专卖行政主管部门批准，并向工商行政管理部门办理变更、注销登记手续。未取得烟草专卖生产企业许可证的，工商行政管理部门不得核准登记。”</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第三十条：“无烟草专卖生产企业许可证生产烟草制品的，由烟草专卖行政主管部门责令关闭，没收违法所得，并处罚款。</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无烟草专卖生产企业许可证生产卷烟纸、滤嘴棒、烟用丝束或者烟草专用机械的，由烟草专卖行政主管部门责令停止生产上述产品，没收违法所得，可以并处罚款。”</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中华人民共和国烟草专卖法实施条例》第十九条：“设立烟草制品生产企业，应当由省级烟草专卖行政主管部门报经国务院烟草专卖行政主管部门批准，取得烟草专卖生产企业许可证，并经工商行政管理部门核准登记。”</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第五十三条：“依照《烟草专卖法》第三十条规定处罚的，按照下列规定执行：</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（一）无烟草专卖生产企业许可证生产烟草制品的，由烟草专卖行政主管部门责令关闭，没收违法所得，处以所生产烟草制品价值一倍以上两倍以下的罚款，并将其违法生产的烟草制品公开销毁；……”</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（3）《河南省烟草专卖管理条例》第十四条第一款：“开办烟草专卖品生产企业，必须按照《专卖法》的有关规定取得烟草专卖生产企业许可证，并经工商行政管理部门核准登记后，方可进行生产。”</w:t>
            </w:r>
          </w:p>
        </w:tc>
        <w:tc>
          <w:tcPr>
            <w:tcW w:w="470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232"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71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70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23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471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70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23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471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70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23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471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70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23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71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70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23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471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70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23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71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70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23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715"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jc w:val="center"/>
        <w:rPr>
          <w:rFonts w:ascii="仿宋" w:hAnsi="仿宋" w:eastAsia="仿宋" w:cs="Times New Roman"/>
          <w:b/>
          <w:bCs/>
          <w:color w:val="000000"/>
          <w:sz w:val="32"/>
        </w:rPr>
      </w:pPr>
    </w:p>
    <w:tbl>
      <w:tblPr>
        <w:tblStyle w:val="7"/>
        <w:tblW w:w="15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64"/>
        <w:gridCol w:w="63"/>
        <w:gridCol w:w="5940"/>
        <w:gridCol w:w="4677"/>
        <w:gridCol w:w="2710"/>
        <w:gridCol w:w="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827" w:type="dxa"/>
            <w:gridSpan w:val="2"/>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5939"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4676"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2835" w:type="dxa"/>
            <w:gridSpan w:val="2"/>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827" w:type="dxa"/>
            <w:gridSpan w:val="2"/>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无证生产卷烟纸、滤嘴棒、烟用丝束、烟草专用机械</w:t>
            </w:r>
          </w:p>
          <w:p>
            <w:pPr>
              <w:spacing w:line="240" w:lineRule="exact"/>
              <w:jc w:val="left"/>
              <w:rPr>
                <w:rFonts w:ascii="仿宋_GB2312" w:hAnsi="仿宋" w:eastAsia="仿宋_GB2312" w:cs="Times New Roman"/>
                <w:color w:val="000000"/>
              </w:rPr>
            </w:pPr>
          </w:p>
        </w:tc>
        <w:tc>
          <w:tcPr>
            <w:tcW w:w="5939"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中华人民共和国烟草专卖法》第二十四条：“生产卷烟纸、滤嘴棒、烟用丝束、烟草专用机械的企业，必须报国务院烟草专卖行政主管部门批准，取得烟草专卖生产企业许可证。本法所称烟草专用机械是指烟草专用机械的整机。”</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第三十条：“无烟草专卖生产企业许可证生产烟草制品的，由烟草专卖行政主管部门责令关闭，没收违法所得，并处罚款。</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无烟草专卖生产企业许可证生产卷烟纸、滤嘴棒、烟用丝束或者烟草专用机械的，由烟草专卖行政主管部门责令停止生产上述产品，没收违法所得，可以并处罚款。”</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中华人民共和国烟草专卖法实施条例》第五十三条：“依照《烟草专卖法》第三十条规定处罚的，按照下列规定执行：……（二）无烟草专卖生产企业许可证生产卷烟纸、滤嘴棒、烟用丝束或者烟草专用机械的，由烟草专卖行政主管部门责令停止生产，没收违法所得，处以违法生产的烟草专卖品价值一倍以上两倍以下的罚款，并将其违法生产的烟草专卖品公开销毁。”</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（3）《河南省烟草专卖管理条例》第十四条第一款：“开办烟草专卖品生产企业，必须按照《专卖法》的有关规定取得烟草专卖生产企业许可证，并经工商行政管理部门核准登记后，方可进行生产。”</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三十四条：“违反本条例第十四条的，由烟草专卖行政主管部门按照下列规定处罚：（一）违反第一款规定的，责令关闭或者停止违法生产活动，没收违法所得，并销毁其违法生产的烟草专卖品及所使用的原辅材料和生产设备，可处以所生产烟草专卖品总值二倍以下的罚款；……”</w:t>
            </w:r>
          </w:p>
          <w:p>
            <w:pPr>
              <w:spacing w:line="240" w:lineRule="exac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2835" w:type="dxa"/>
            <w:gridSpan w:val="2"/>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2979"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2979"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2979"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2979"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2979"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2979"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2979" w:type="dxa"/>
            <w:gridSpan w:val="2"/>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997" w:type="dxa"/>
            <w:gridSpan w:val="7"/>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6" w:type="dxa"/>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764"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6002" w:type="dxa"/>
            <w:gridSpan w:val="2"/>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4676"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2709"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6" w:type="dxa"/>
          <w:trHeight w:val="1002"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764"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无证批发烟草制品处罚</w:t>
            </w:r>
          </w:p>
        </w:tc>
        <w:tc>
          <w:tcPr>
            <w:tcW w:w="6002" w:type="dxa"/>
            <w:gridSpan w:val="2"/>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第十五条：“经营烟草制品批发业务的企业，必须经国务院烟草专卖行政主管行政部门或者省级烟草专卖行政主管部门批准，取得烟草专卖批发企业许可证，并经工商行政管理部门核准登记。”</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三十一条：“无烟草专卖批发企业许可证经营烟草制品批发业务的，由烟草专卖行政主管部门责令关闭或者停止经营烟草制品批发业务，没收违法所得，并处罚款。”（2）《中华人民共和国烟草专卖法实施条例》第二十四条：“无烟草专卖批发企业许可证的单位或者个人，一次销售卷烟、雪茄烟50条以上的，视为无烟草专卖批发企业许可证从事烟草制品批发业务。</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五十四条：“依照《烟草专卖法》第三十一条规定，无烟草专卖批发企业许可证经营烟草制品批发业务的，由烟草专卖行政主管部门责令关闭或者停止经营烟草制品批发业务，没收违法所得，处以违法批发的烟草制品价值百分之五十以上一倍以下的罚款。”</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河南省烟草专卖管理条例》第十八条第一款：“烟草制品批发业务由烟草公司统一经营。经营烟草制品批发业务的，应当向省烟草专卖行政主管部门申领烟草专卖批发企业许可证；经营烟草制品零售业务的，应当向当地烟草专卖行政主管部门申领烟草专卖零售许可证，并经工商行政管理部门核准登记。”</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三十六条：“违反本条例第十八条的，按照下列规定处罚：（一）无烟草专卖批发企业许可证经营烟草制品批发业务的，由烟草专卖行政主管部门责令关闭或者停止经营烟草制品批发业务，没收违法所得，并处以违法经营总额百分之二十以上百分之五十以下的罚款；可以按照国家规定收购其违法经营的烟草制品；……”</w:t>
            </w: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2709"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6" w:type="dxa"/>
          <w:trHeight w:val="1021"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6" w:type="dxa"/>
          <w:trHeight w:val="984"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6" w:type="dxa"/>
          <w:trHeight w:val="992"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6" w:type="dxa"/>
          <w:trHeight w:val="1077"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6" w:type="dxa"/>
          <w:trHeight w:val="647"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6" w:type="dxa"/>
          <w:trHeight w:val="787"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6" w:type="dxa"/>
          <w:trHeight w:val="443" w:hRule="atLeast"/>
          <w:jc w:val="center"/>
        </w:trPr>
        <w:tc>
          <w:tcPr>
            <w:tcW w:w="300" w:type="dxa"/>
            <w:vMerge w:val="continue"/>
            <w:vAlign w:val="center"/>
          </w:tcPr>
          <w:p>
            <w:pPr>
              <w:widowControl/>
              <w:jc w:val="left"/>
              <w:rPr>
                <w:rFonts w:ascii="仿宋_GB2312" w:hAnsi="仿宋" w:eastAsia="仿宋_GB2312" w:cs="Times New Roman"/>
                <w:color w:val="000000"/>
              </w:rPr>
            </w:pPr>
          </w:p>
        </w:tc>
        <w:tc>
          <w:tcPr>
            <w:tcW w:w="300" w:type="dxa"/>
            <w:vMerge w:val="continue"/>
            <w:vAlign w:val="center"/>
          </w:tcPr>
          <w:p>
            <w:pPr>
              <w:widowControl/>
              <w:jc w:val="left"/>
              <w:rPr>
                <w:rFonts w:ascii="仿宋_GB2312" w:hAnsi="仿宋" w:eastAsia="仿宋_GB2312" w:cs="Times New Roman"/>
                <w:color w:val="000000"/>
              </w:rPr>
            </w:pPr>
          </w:p>
        </w:tc>
        <w:tc>
          <w:tcPr>
            <w:tcW w:w="600" w:type="dxa"/>
            <w:gridSpan w:val="2"/>
            <w:vMerge w:val="continue"/>
            <w:vAlign w:val="center"/>
          </w:tcPr>
          <w:p>
            <w:pPr>
              <w:widowControl/>
              <w:jc w:val="left"/>
              <w:rPr>
                <w:rFonts w:ascii="仿宋_GB2312" w:hAnsi="仿宋" w:eastAsia="仿宋_GB2312" w:cs="Times New Roman"/>
                <w:color w:val="000000"/>
              </w:rPr>
            </w:pPr>
          </w:p>
        </w:tc>
        <w:tc>
          <w:tcPr>
            <w:tcW w:w="467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6" w:type="dxa"/>
          <w:trHeight w:val="603" w:hRule="atLeast"/>
          <w:jc w:val="center"/>
        </w:trPr>
        <w:tc>
          <w:tcPr>
            <w:tcW w:w="14871" w:type="dxa"/>
            <w:gridSpan w:val="6"/>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jc w:val="left"/>
        <w:rPr>
          <w:rFonts w:ascii="仿宋" w:hAnsi="仿宋" w:eastAsia="仿宋" w:cs="Times New Roman"/>
          <w:b/>
          <w:bCs/>
          <w:color w:val="000000"/>
          <w:sz w:val="32"/>
        </w:rPr>
      </w:pPr>
    </w:p>
    <w:tbl>
      <w:tblPr>
        <w:tblStyle w:val="7"/>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56"/>
        <w:gridCol w:w="5670"/>
        <w:gridCol w:w="5103"/>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756"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567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103"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2606"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756"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超越许可证规定范围从事烟草制品批发业务</w:t>
            </w:r>
          </w:p>
        </w:tc>
        <w:tc>
          <w:tcPr>
            <w:tcW w:w="5670"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二十三条：“取得烟草专卖批发企业许可证的企业，应当在许可证规定的经营范围和地域范围内，从事烟草制品的批发业务。取得烟草专卖零售许可证的企业或者个人，应当在当地的烟草专卖批发企业进货，并接受烟草专卖许可证发证机关的监督管理。”</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五十五条：“取得烟草专卖批发企业许可证的单位违反本条例第二十三条第一款的规定，超越经营范围和地域范围，从事烟草制品批发业务的，由烟草专卖行政主管部门责令暂停经营批发业务，没收违法所得，处以违法经营的烟草制品价值百分之十以上百分之二十以下的罚款。”</w:t>
            </w:r>
          </w:p>
          <w:p>
            <w:pPr>
              <w:spacing w:line="240" w:lineRule="exact"/>
              <w:rPr>
                <w:rFonts w:ascii="仿宋_GB2312" w:hAnsi="仿宋" w:eastAsia="仿宋_GB2312" w:cs="Times New Roman"/>
                <w:color w:val="000000"/>
              </w:rPr>
            </w:pPr>
          </w:p>
        </w:tc>
        <w:tc>
          <w:tcPr>
            <w:tcW w:w="510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2606"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670" w:type="dxa"/>
            <w:vMerge w:val="continue"/>
            <w:vAlign w:val="center"/>
          </w:tcPr>
          <w:p>
            <w:pPr>
              <w:widowControl/>
              <w:jc w:val="left"/>
              <w:rPr>
                <w:rFonts w:ascii="仿宋_GB2312" w:hAnsi="仿宋" w:eastAsia="仿宋_GB2312" w:cs="Times New Roman"/>
                <w:color w:val="000000"/>
              </w:rPr>
            </w:pPr>
          </w:p>
        </w:tc>
        <w:tc>
          <w:tcPr>
            <w:tcW w:w="510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260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670" w:type="dxa"/>
            <w:vMerge w:val="continue"/>
            <w:vAlign w:val="center"/>
          </w:tcPr>
          <w:p>
            <w:pPr>
              <w:widowControl/>
              <w:jc w:val="left"/>
              <w:rPr>
                <w:rFonts w:ascii="仿宋_GB2312" w:hAnsi="仿宋" w:eastAsia="仿宋_GB2312" w:cs="Times New Roman"/>
                <w:color w:val="000000"/>
              </w:rPr>
            </w:pPr>
          </w:p>
        </w:tc>
        <w:tc>
          <w:tcPr>
            <w:tcW w:w="510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260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670" w:type="dxa"/>
            <w:vMerge w:val="continue"/>
            <w:vAlign w:val="center"/>
          </w:tcPr>
          <w:p>
            <w:pPr>
              <w:widowControl/>
              <w:jc w:val="left"/>
              <w:rPr>
                <w:rFonts w:ascii="仿宋_GB2312" w:hAnsi="仿宋" w:eastAsia="仿宋_GB2312" w:cs="Times New Roman"/>
                <w:color w:val="000000"/>
              </w:rPr>
            </w:pPr>
          </w:p>
        </w:tc>
        <w:tc>
          <w:tcPr>
            <w:tcW w:w="510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260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670" w:type="dxa"/>
            <w:vMerge w:val="continue"/>
            <w:vAlign w:val="center"/>
          </w:tcPr>
          <w:p>
            <w:pPr>
              <w:widowControl/>
              <w:jc w:val="left"/>
              <w:rPr>
                <w:rFonts w:ascii="仿宋_GB2312" w:hAnsi="仿宋" w:eastAsia="仿宋_GB2312" w:cs="Times New Roman"/>
                <w:color w:val="000000"/>
              </w:rPr>
            </w:pPr>
          </w:p>
        </w:tc>
        <w:tc>
          <w:tcPr>
            <w:tcW w:w="510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260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670" w:type="dxa"/>
            <w:vMerge w:val="continue"/>
            <w:vAlign w:val="center"/>
          </w:tcPr>
          <w:p>
            <w:pPr>
              <w:widowControl/>
              <w:jc w:val="left"/>
              <w:rPr>
                <w:rFonts w:ascii="仿宋_GB2312" w:hAnsi="仿宋" w:eastAsia="仿宋_GB2312" w:cs="Times New Roman"/>
                <w:color w:val="000000"/>
              </w:rPr>
            </w:pPr>
          </w:p>
        </w:tc>
        <w:tc>
          <w:tcPr>
            <w:tcW w:w="510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260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670" w:type="dxa"/>
            <w:vMerge w:val="continue"/>
            <w:vAlign w:val="center"/>
          </w:tcPr>
          <w:p>
            <w:pPr>
              <w:widowControl/>
              <w:jc w:val="left"/>
              <w:rPr>
                <w:rFonts w:ascii="仿宋_GB2312" w:hAnsi="仿宋" w:eastAsia="仿宋_GB2312" w:cs="Times New Roman"/>
                <w:color w:val="000000"/>
              </w:rPr>
            </w:pPr>
          </w:p>
        </w:tc>
        <w:tc>
          <w:tcPr>
            <w:tcW w:w="510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260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670" w:type="dxa"/>
            <w:vMerge w:val="continue"/>
            <w:vAlign w:val="center"/>
          </w:tcPr>
          <w:p>
            <w:pPr>
              <w:widowControl/>
              <w:jc w:val="left"/>
              <w:rPr>
                <w:rFonts w:ascii="仿宋_GB2312" w:hAnsi="仿宋" w:eastAsia="仿宋_GB2312" w:cs="Times New Roman"/>
                <w:color w:val="000000"/>
              </w:rPr>
            </w:pPr>
          </w:p>
        </w:tc>
        <w:tc>
          <w:tcPr>
            <w:tcW w:w="510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260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55"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jc w:val="left"/>
        <w:rPr>
          <w:rFonts w:ascii="仿宋" w:hAnsi="仿宋" w:eastAsia="仿宋" w:cs="Times New Roman"/>
          <w:b/>
          <w:bCs/>
          <w:color w:val="000000"/>
          <w:sz w:val="32"/>
        </w:rPr>
      </w:pPr>
    </w:p>
    <w:tbl>
      <w:tblPr>
        <w:tblStyle w:val="7"/>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09"/>
        <w:gridCol w:w="5387"/>
        <w:gridCol w:w="524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709"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5387"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244"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2835"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681"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709"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未在当地烟草专卖批发企业进货处罚</w:t>
            </w:r>
          </w:p>
        </w:tc>
        <w:tc>
          <w:tcPr>
            <w:tcW w:w="5387"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《中华人民共和国烟草专卖法实施条例》第二十三条：“取得烟草专卖批发企业许可证的企业，应当在许可证规定的经营范围和地域范围内，从事烟草制品的批发业务。</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取得烟草专卖零售许可证的企业或者个人，应当在当地的烟草专卖批发企业进货，并接受烟草专卖许可证发证机关的监督管理。”</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五十六条：“取得烟草专卖零售许可证的企业或者个人违反本条例第二十三条第二款的规定，未在当地烟草专卖批发企业进货的，由烟草专卖行政主管部门没收违法所得，可处以进货总额百分之五以上百分之十以下的罚款。”</w:t>
            </w:r>
          </w:p>
          <w:p>
            <w:pPr>
              <w:spacing w:line="240" w:lineRule="exact"/>
              <w:rPr>
                <w:rFonts w:ascii="仿宋_GB2312" w:hAnsi="仿宋" w:eastAsia="仿宋_GB2312" w:cs="Times New Roman"/>
                <w:color w:val="000000"/>
              </w:rPr>
            </w:pPr>
          </w:p>
        </w:tc>
        <w:tc>
          <w:tcPr>
            <w:tcW w:w="524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2835"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681" w:type="dxa"/>
            <w:vMerge w:val="continue"/>
            <w:vAlign w:val="center"/>
          </w:tcPr>
          <w:p>
            <w:pPr>
              <w:widowControl/>
              <w:jc w:val="left"/>
              <w:rPr>
                <w:rFonts w:ascii="仿宋_GB2312" w:hAnsi="仿宋" w:eastAsia="仿宋_GB2312" w:cs="Times New Roman"/>
                <w:color w:val="000000"/>
              </w:rPr>
            </w:pPr>
          </w:p>
        </w:tc>
        <w:tc>
          <w:tcPr>
            <w:tcW w:w="709" w:type="dxa"/>
            <w:vMerge w:val="continue"/>
            <w:vAlign w:val="center"/>
          </w:tcPr>
          <w:p>
            <w:pPr>
              <w:widowControl/>
              <w:jc w:val="left"/>
              <w:rPr>
                <w:rFonts w:ascii="仿宋_GB2312" w:hAnsi="仿宋" w:eastAsia="仿宋_GB2312" w:cs="Times New Roman"/>
                <w:color w:val="000000"/>
              </w:rPr>
            </w:pPr>
          </w:p>
        </w:tc>
        <w:tc>
          <w:tcPr>
            <w:tcW w:w="5387" w:type="dxa"/>
            <w:vMerge w:val="continue"/>
            <w:vAlign w:val="center"/>
          </w:tcPr>
          <w:p>
            <w:pPr>
              <w:widowControl/>
              <w:jc w:val="left"/>
              <w:rPr>
                <w:rFonts w:ascii="仿宋_GB2312" w:hAnsi="仿宋" w:eastAsia="仿宋_GB2312" w:cs="Times New Roman"/>
                <w:color w:val="000000"/>
              </w:rPr>
            </w:pPr>
          </w:p>
        </w:tc>
        <w:tc>
          <w:tcPr>
            <w:tcW w:w="524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681" w:type="dxa"/>
            <w:vMerge w:val="continue"/>
            <w:vAlign w:val="center"/>
          </w:tcPr>
          <w:p>
            <w:pPr>
              <w:widowControl/>
              <w:jc w:val="left"/>
              <w:rPr>
                <w:rFonts w:ascii="仿宋_GB2312" w:hAnsi="仿宋" w:eastAsia="仿宋_GB2312" w:cs="Times New Roman"/>
                <w:color w:val="000000"/>
              </w:rPr>
            </w:pPr>
          </w:p>
        </w:tc>
        <w:tc>
          <w:tcPr>
            <w:tcW w:w="709" w:type="dxa"/>
            <w:vMerge w:val="continue"/>
            <w:vAlign w:val="center"/>
          </w:tcPr>
          <w:p>
            <w:pPr>
              <w:widowControl/>
              <w:jc w:val="left"/>
              <w:rPr>
                <w:rFonts w:ascii="仿宋_GB2312" w:hAnsi="仿宋" w:eastAsia="仿宋_GB2312" w:cs="Times New Roman"/>
                <w:color w:val="000000"/>
              </w:rPr>
            </w:pPr>
          </w:p>
        </w:tc>
        <w:tc>
          <w:tcPr>
            <w:tcW w:w="5387" w:type="dxa"/>
            <w:vMerge w:val="continue"/>
            <w:vAlign w:val="center"/>
          </w:tcPr>
          <w:p>
            <w:pPr>
              <w:widowControl/>
              <w:jc w:val="left"/>
              <w:rPr>
                <w:rFonts w:ascii="仿宋_GB2312" w:hAnsi="仿宋" w:eastAsia="仿宋_GB2312" w:cs="Times New Roman"/>
                <w:color w:val="000000"/>
              </w:rPr>
            </w:pPr>
          </w:p>
        </w:tc>
        <w:tc>
          <w:tcPr>
            <w:tcW w:w="524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81" w:type="dxa"/>
            <w:vMerge w:val="continue"/>
            <w:vAlign w:val="center"/>
          </w:tcPr>
          <w:p>
            <w:pPr>
              <w:widowControl/>
              <w:jc w:val="left"/>
              <w:rPr>
                <w:rFonts w:ascii="仿宋_GB2312" w:hAnsi="仿宋" w:eastAsia="仿宋_GB2312" w:cs="Times New Roman"/>
                <w:color w:val="000000"/>
              </w:rPr>
            </w:pPr>
          </w:p>
        </w:tc>
        <w:tc>
          <w:tcPr>
            <w:tcW w:w="709" w:type="dxa"/>
            <w:vMerge w:val="continue"/>
            <w:vAlign w:val="center"/>
          </w:tcPr>
          <w:p>
            <w:pPr>
              <w:widowControl/>
              <w:jc w:val="left"/>
              <w:rPr>
                <w:rFonts w:ascii="仿宋_GB2312" w:hAnsi="仿宋" w:eastAsia="仿宋_GB2312" w:cs="Times New Roman"/>
                <w:color w:val="000000"/>
              </w:rPr>
            </w:pPr>
          </w:p>
        </w:tc>
        <w:tc>
          <w:tcPr>
            <w:tcW w:w="5387" w:type="dxa"/>
            <w:vMerge w:val="continue"/>
            <w:vAlign w:val="center"/>
          </w:tcPr>
          <w:p>
            <w:pPr>
              <w:widowControl/>
              <w:jc w:val="left"/>
              <w:rPr>
                <w:rFonts w:ascii="仿宋_GB2312" w:hAnsi="仿宋" w:eastAsia="仿宋_GB2312" w:cs="Times New Roman"/>
                <w:color w:val="000000"/>
              </w:rPr>
            </w:pPr>
          </w:p>
        </w:tc>
        <w:tc>
          <w:tcPr>
            <w:tcW w:w="524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681" w:type="dxa"/>
            <w:vMerge w:val="continue"/>
            <w:vAlign w:val="center"/>
          </w:tcPr>
          <w:p>
            <w:pPr>
              <w:widowControl/>
              <w:jc w:val="left"/>
              <w:rPr>
                <w:rFonts w:ascii="仿宋_GB2312" w:hAnsi="仿宋" w:eastAsia="仿宋_GB2312" w:cs="Times New Roman"/>
                <w:color w:val="000000"/>
              </w:rPr>
            </w:pPr>
          </w:p>
        </w:tc>
        <w:tc>
          <w:tcPr>
            <w:tcW w:w="709" w:type="dxa"/>
            <w:vMerge w:val="continue"/>
            <w:vAlign w:val="center"/>
          </w:tcPr>
          <w:p>
            <w:pPr>
              <w:widowControl/>
              <w:jc w:val="left"/>
              <w:rPr>
                <w:rFonts w:ascii="仿宋_GB2312" w:hAnsi="仿宋" w:eastAsia="仿宋_GB2312" w:cs="Times New Roman"/>
                <w:color w:val="000000"/>
              </w:rPr>
            </w:pPr>
          </w:p>
        </w:tc>
        <w:tc>
          <w:tcPr>
            <w:tcW w:w="5387" w:type="dxa"/>
            <w:vMerge w:val="continue"/>
            <w:vAlign w:val="center"/>
          </w:tcPr>
          <w:p>
            <w:pPr>
              <w:widowControl/>
              <w:jc w:val="left"/>
              <w:rPr>
                <w:rFonts w:ascii="仿宋_GB2312" w:hAnsi="仿宋" w:eastAsia="仿宋_GB2312" w:cs="Times New Roman"/>
                <w:color w:val="000000"/>
              </w:rPr>
            </w:pPr>
          </w:p>
        </w:tc>
        <w:tc>
          <w:tcPr>
            <w:tcW w:w="524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81" w:type="dxa"/>
            <w:vMerge w:val="continue"/>
            <w:vAlign w:val="center"/>
          </w:tcPr>
          <w:p>
            <w:pPr>
              <w:widowControl/>
              <w:jc w:val="left"/>
              <w:rPr>
                <w:rFonts w:ascii="仿宋_GB2312" w:hAnsi="仿宋" w:eastAsia="仿宋_GB2312" w:cs="Times New Roman"/>
                <w:color w:val="000000"/>
              </w:rPr>
            </w:pPr>
          </w:p>
        </w:tc>
        <w:tc>
          <w:tcPr>
            <w:tcW w:w="709" w:type="dxa"/>
            <w:vMerge w:val="continue"/>
            <w:vAlign w:val="center"/>
          </w:tcPr>
          <w:p>
            <w:pPr>
              <w:widowControl/>
              <w:jc w:val="left"/>
              <w:rPr>
                <w:rFonts w:ascii="仿宋_GB2312" w:hAnsi="仿宋" w:eastAsia="仿宋_GB2312" w:cs="Times New Roman"/>
                <w:color w:val="000000"/>
              </w:rPr>
            </w:pPr>
          </w:p>
        </w:tc>
        <w:tc>
          <w:tcPr>
            <w:tcW w:w="5387" w:type="dxa"/>
            <w:vMerge w:val="continue"/>
            <w:vAlign w:val="center"/>
          </w:tcPr>
          <w:p>
            <w:pPr>
              <w:widowControl/>
              <w:jc w:val="left"/>
              <w:rPr>
                <w:rFonts w:ascii="仿宋_GB2312" w:hAnsi="仿宋" w:eastAsia="仿宋_GB2312" w:cs="Times New Roman"/>
                <w:color w:val="000000"/>
              </w:rPr>
            </w:pPr>
          </w:p>
        </w:tc>
        <w:tc>
          <w:tcPr>
            <w:tcW w:w="524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681" w:type="dxa"/>
            <w:vMerge w:val="continue"/>
            <w:vAlign w:val="center"/>
          </w:tcPr>
          <w:p>
            <w:pPr>
              <w:widowControl/>
              <w:jc w:val="left"/>
              <w:rPr>
                <w:rFonts w:ascii="仿宋_GB2312" w:hAnsi="仿宋" w:eastAsia="仿宋_GB2312" w:cs="Times New Roman"/>
                <w:color w:val="000000"/>
              </w:rPr>
            </w:pPr>
          </w:p>
        </w:tc>
        <w:tc>
          <w:tcPr>
            <w:tcW w:w="709" w:type="dxa"/>
            <w:vMerge w:val="continue"/>
            <w:vAlign w:val="center"/>
          </w:tcPr>
          <w:p>
            <w:pPr>
              <w:widowControl/>
              <w:jc w:val="left"/>
              <w:rPr>
                <w:rFonts w:ascii="仿宋_GB2312" w:hAnsi="仿宋" w:eastAsia="仿宋_GB2312" w:cs="Times New Roman"/>
                <w:color w:val="000000"/>
              </w:rPr>
            </w:pPr>
          </w:p>
        </w:tc>
        <w:tc>
          <w:tcPr>
            <w:tcW w:w="5387" w:type="dxa"/>
            <w:vMerge w:val="continue"/>
            <w:vAlign w:val="center"/>
          </w:tcPr>
          <w:p>
            <w:pPr>
              <w:widowControl/>
              <w:jc w:val="left"/>
              <w:rPr>
                <w:rFonts w:ascii="仿宋_GB2312" w:hAnsi="仿宋" w:eastAsia="仿宋_GB2312" w:cs="Times New Roman"/>
                <w:color w:val="000000"/>
              </w:rPr>
            </w:pPr>
          </w:p>
        </w:tc>
        <w:tc>
          <w:tcPr>
            <w:tcW w:w="524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81" w:type="dxa"/>
            <w:vMerge w:val="continue"/>
            <w:vAlign w:val="center"/>
          </w:tcPr>
          <w:p>
            <w:pPr>
              <w:widowControl/>
              <w:jc w:val="left"/>
              <w:rPr>
                <w:rFonts w:ascii="仿宋_GB2312" w:hAnsi="仿宋" w:eastAsia="仿宋_GB2312" w:cs="Times New Roman"/>
                <w:color w:val="000000"/>
              </w:rPr>
            </w:pPr>
          </w:p>
        </w:tc>
        <w:tc>
          <w:tcPr>
            <w:tcW w:w="709" w:type="dxa"/>
            <w:vMerge w:val="continue"/>
            <w:vAlign w:val="center"/>
          </w:tcPr>
          <w:p>
            <w:pPr>
              <w:widowControl/>
              <w:jc w:val="left"/>
              <w:rPr>
                <w:rFonts w:ascii="仿宋_GB2312" w:hAnsi="仿宋" w:eastAsia="仿宋_GB2312" w:cs="Times New Roman"/>
                <w:color w:val="000000"/>
              </w:rPr>
            </w:pPr>
          </w:p>
        </w:tc>
        <w:tc>
          <w:tcPr>
            <w:tcW w:w="5387" w:type="dxa"/>
            <w:vMerge w:val="continue"/>
            <w:vAlign w:val="center"/>
          </w:tcPr>
          <w:p>
            <w:pPr>
              <w:widowControl/>
              <w:jc w:val="left"/>
              <w:rPr>
                <w:rFonts w:ascii="仿宋_GB2312" w:hAnsi="仿宋" w:eastAsia="仿宋_GB2312" w:cs="Times New Roman"/>
                <w:color w:val="000000"/>
              </w:rPr>
            </w:pPr>
          </w:p>
        </w:tc>
        <w:tc>
          <w:tcPr>
            <w:tcW w:w="524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283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56"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jc w:val="left"/>
        <w:rPr>
          <w:rFonts w:ascii="仿宋" w:hAnsi="仿宋" w:eastAsia="仿宋" w:cs="Times New Roman"/>
          <w:b/>
          <w:bCs/>
          <w:color w:val="000000"/>
          <w:sz w:val="32"/>
        </w:rPr>
      </w:pPr>
    </w:p>
    <w:tbl>
      <w:tblPr>
        <w:tblStyle w:val="7"/>
        <w:tblW w:w="14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11"/>
        <w:gridCol w:w="5954"/>
        <w:gridCol w:w="4533"/>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81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5955"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4534"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285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811"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无证经营烟草制品零售业务处罚</w:t>
            </w:r>
          </w:p>
        </w:tc>
        <w:tc>
          <w:tcPr>
            <w:tcW w:w="5955"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第十六条：“经营烟草制品零售业务的企业或者个人，由县级人民政府工商行政管理部门根据上一级烟草专卖行政主管部门的委托，审查批准发给烟草零售许可证。已经设立县级烟草专卖行政主管部门的地方，也可以由县级烟草专卖行政主管部门审查批准发给烟草专卖零售许可证。”</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第三十二条：“无烟草专卖零售许可证经营烟草制品零售业务的，由工商行政管理部门责令停止经营烟草制品零售业务，没收违法所得，并处罚款。”</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五十七条：“无烟草专卖零售许可证经营烟草制品零售业务的，由工商行政管理部门或者由工商行政管理部门根据烟草专卖行政主管部门的意见，责令停止经营烟草制品零售业务，没收违法所得，处以违法经营总额百分之二十以上百分之五十以下的罚款。”</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河南省烟草专卖管理条例》第三十六条：“违反本条例第十八条的，按照下列规定处罚：……（二）无烟草专卖零售许可证经营烟草制品零售业务的，由工商行政管理部门或者烟草专卖行政主管部门责令停止经营烟草制品零售业务，限期申领零售许可证，对违法经营的烟草制品可予以暂时扣留；逾期未领取零售许可证的，由烟草专卖行政主管部门按照国家规定收购其被扣留的烟草制品，并由工商行政管理部门没收违法所得，处以违法经营总额百分之五以上百分之二十以下的罚款。”</w:t>
            </w:r>
          </w:p>
          <w:p>
            <w:pPr>
              <w:spacing w:line="240" w:lineRule="exact"/>
              <w:rPr>
                <w:rFonts w:ascii="仿宋_GB2312" w:hAnsi="仿宋" w:eastAsia="仿宋_GB2312" w:cs="Times New Roman"/>
                <w:color w:val="000000"/>
              </w:rPr>
            </w:pPr>
          </w:p>
        </w:tc>
        <w:tc>
          <w:tcPr>
            <w:tcW w:w="453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2851"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871"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955" w:type="dxa"/>
            <w:vMerge w:val="continue"/>
            <w:vAlign w:val="center"/>
          </w:tcPr>
          <w:p>
            <w:pPr>
              <w:widowControl/>
              <w:jc w:val="left"/>
              <w:rPr>
                <w:rFonts w:ascii="仿宋_GB2312" w:hAnsi="仿宋" w:eastAsia="仿宋_GB2312" w:cs="Times New Roman"/>
                <w:color w:val="000000"/>
              </w:rPr>
            </w:pPr>
          </w:p>
        </w:tc>
        <w:tc>
          <w:tcPr>
            <w:tcW w:w="453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285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4871"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955" w:type="dxa"/>
            <w:vMerge w:val="continue"/>
            <w:vAlign w:val="center"/>
          </w:tcPr>
          <w:p>
            <w:pPr>
              <w:widowControl/>
              <w:jc w:val="left"/>
              <w:rPr>
                <w:rFonts w:ascii="仿宋_GB2312" w:hAnsi="仿宋" w:eastAsia="仿宋_GB2312" w:cs="Times New Roman"/>
                <w:color w:val="000000"/>
              </w:rPr>
            </w:pPr>
          </w:p>
        </w:tc>
        <w:tc>
          <w:tcPr>
            <w:tcW w:w="453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285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4871"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955" w:type="dxa"/>
            <w:vMerge w:val="continue"/>
            <w:vAlign w:val="center"/>
          </w:tcPr>
          <w:p>
            <w:pPr>
              <w:widowControl/>
              <w:jc w:val="left"/>
              <w:rPr>
                <w:rFonts w:ascii="仿宋_GB2312" w:hAnsi="仿宋" w:eastAsia="仿宋_GB2312" w:cs="Times New Roman"/>
                <w:color w:val="000000"/>
              </w:rPr>
            </w:pPr>
          </w:p>
        </w:tc>
        <w:tc>
          <w:tcPr>
            <w:tcW w:w="453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285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4871"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955" w:type="dxa"/>
            <w:vMerge w:val="continue"/>
            <w:vAlign w:val="center"/>
          </w:tcPr>
          <w:p>
            <w:pPr>
              <w:widowControl/>
              <w:jc w:val="left"/>
              <w:rPr>
                <w:rFonts w:ascii="仿宋_GB2312" w:hAnsi="仿宋" w:eastAsia="仿宋_GB2312" w:cs="Times New Roman"/>
                <w:color w:val="000000"/>
              </w:rPr>
            </w:pPr>
          </w:p>
        </w:tc>
        <w:tc>
          <w:tcPr>
            <w:tcW w:w="453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285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871"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955" w:type="dxa"/>
            <w:vMerge w:val="continue"/>
            <w:vAlign w:val="center"/>
          </w:tcPr>
          <w:p>
            <w:pPr>
              <w:widowControl/>
              <w:jc w:val="left"/>
              <w:rPr>
                <w:rFonts w:ascii="仿宋_GB2312" w:hAnsi="仿宋" w:eastAsia="仿宋_GB2312" w:cs="Times New Roman"/>
                <w:color w:val="000000"/>
              </w:rPr>
            </w:pPr>
          </w:p>
        </w:tc>
        <w:tc>
          <w:tcPr>
            <w:tcW w:w="453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285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4871"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955" w:type="dxa"/>
            <w:vMerge w:val="continue"/>
            <w:vAlign w:val="center"/>
          </w:tcPr>
          <w:p>
            <w:pPr>
              <w:widowControl/>
              <w:jc w:val="left"/>
              <w:rPr>
                <w:rFonts w:ascii="仿宋_GB2312" w:hAnsi="仿宋" w:eastAsia="仿宋_GB2312" w:cs="Times New Roman"/>
                <w:color w:val="000000"/>
              </w:rPr>
            </w:pPr>
          </w:p>
        </w:tc>
        <w:tc>
          <w:tcPr>
            <w:tcW w:w="453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285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871"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955" w:type="dxa"/>
            <w:vMerge w:val="continue"/>
            <w:vAlign w:val="center"/>
          </w:tcPr>
          <w:p>
            <w:pPr>
              <w:widowControl/>
              <w:jc w:val="left"/>
              <w:rPr>
                <w:rFonts w:ascii="仿宋_GB2312" w:hAnsi="仿宋" w:eastAsia="仿宋_GB2312" w:cs="Times New Roman"/>
                <w:color w:val="000000"/>
              </w:rPr>
            </w:pPr>
          </w:p>
        </w:tc>
        <w:tc>
          <w:tcPr>
            <w:tcW w:w="453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285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71"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rPr>
          <w:rFonts w:ascii="仿宋" w:hAnsi="仿宋" w:eastAsia="仿宋" w:cs="Times New Roman"/>
          <w:b/>
          <w:bCs/>
          <w:color w:val="000000"/>
          <w:sz w:val="32"/>
        </w:rPr>
      </w:pPr>
    </w:p>
    <w:tbl>
      <w:tblPr>
        <w:tblStyle w:val="7"/>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71"/>
        <w:gridCol w:w="5528"/>
        <w:gridCol w:w="4820"/>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67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5528"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48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116"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1"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671"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销售非法生产的烟草专卖品</w:t>
            </w:r>
          </w:p>
        </w:tc>
        <w:tc>
          <w:tcPr>
            <w:tcW w:w="5528"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《中华人民共和国烟草专卖法实施条例》第二十五条：“任何单位或者个人不得销售非法生产的烟草制品。”</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第三十八条：“任何单位或者个人不得销售非法生产的烟草专用机械、卷烟纸、滤嘴棒及烟用丝束。</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淘汰报废、非法拼装的烟草专用机械，残次的卷烟纸、滤嘴棒、烟用丝束及下脚料，由当地烟草专卖行政主管部门监督处理，不得以任何方式销售。”</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五十八条：“违反本条例第二十五条、第三十八条第一款规定销售非法生产的烟草专卖品的，由烟草专卖行政主管部门责令停止销售，没收违法所得，处以违法销售总额百分之二十以上百分之五十以下的罚款，并将非法销售的烟草专卖品公开销毁。</w:t>
            </w:r>
          </w:p>
          <w:p>
            <w:pPr>
              <w:spacing w:line="240" w:lineRule="exac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116"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721"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528"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11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721"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528"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11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21"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528"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11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721"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528"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11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21"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528"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11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21"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528"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11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721"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528"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116"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56"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jc w:val="left"/>
        <w:rPr>
          <w:rFonts w:ascii="仿宋" w:hAnsi="仿宋" w:eastAsia="仿宋" w:cs="Times New Roman"/>
          <w:b/>
          <w:bCs/>
          <w:color w:val="000000"/>
          <w:sz w:val="32"/>
        </w:rPr>
      </w:pPr>
    </w:p>
    <w:tbl>
      <w:tblPr>
        <w:tblStyle w:val="7"/>
        <w:tblW w:w="14941" w:type="dxa"/>
        <w:tblInd w:w="-10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13"/>
        <w:gridCol w:w="4818"/>
        <w:gridCol w:w="5061"/>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813"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4818"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06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528"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21"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813"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为无烟草专卖零售许可证的单位或者个人提供烟草制品处罚</w:t>
            </w:r>
          </w:p>
        </w:tc>
        <w:tc>
          <w:tcPr>
            <w:tcW w:w="4818"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《中华人民共和国烟草专卖法实施条例》第二十六条：“烟草专卖生产企业和烟草专卖批发企业，不得向无烟草专卖零售许可证的单位或者个人提供烟草制品。”</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六十条：“违反本条例第二十六条、第三十六条第二款规定，为无烟草专卖许可证的单位或者个人提供烟草专卖品的，由烟草专卖行政主管部门没收违法所得，并处以销售总额百分之二十以上百分之五十以下的罚款。”</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《河南省烟草专卖管理条例》第十六条第二款：“烟草制品生产企业只对县级以上烟草公司供应卷烟，禁止对其他单位和个人供应卷烟。”</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第三十五条：“烟草制品生产企业违反本条例第十六条第二款规定，向其他单位和个人供应卷烟的，由烟草专卖行政主管部门给予警告，没收违法所得，并处以销售总额百分之二十以上百分之五十以下的罚款。”</w:t>
            </w:r>
          </w:p>
          <w:p>
            <w:pPr>
              <w:spacing w:line="240" w:lineRule="exact"/>
              <w:rPr>
                <w:rFonts w:ascii="仿宋_GB2312" w:hAnsi="仿宋" w:eastAsia="仿宋_GB2312" w:cs="Times New Roman"/>
                <w:color w:val="000000"/>
              </w:rPr>
            </w:pPr>
          </w:p>
        </w:tc>
        <w:tc>
          <w:tcPr>
            <w:tcW w:w="506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528"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721"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8" w:type="dxa"/>
            <w:vMerge w:val="continue"/>
            <w:vAlign w:val="center"/>
          </w:tcPr>
          <w:p>
            <w:pPr>
              <w:widowControl/>
              <w:jc w:val="left"/>
              <w:rPr>
                <w:rFonts w:ascii="仿宋_GB2312" w:hAnsi="仿宋" w:eastAsia="仿宋_GB2312" w:cs="Times New Roman"/>
                <w:color w:val="000000"/>
              </w:rPr>
            </w:pPr>
          </w:p>
        </w:tc>
        <w:tc>
          <w:tcPr>
            <w:tcW w:w="506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52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721"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8" w:type="dxa"/>
            <w:vMerge w:val="continue"/>
            <w:vAlign w:val="center"/>
          </w:tcPr>
          <w:p>
            <w:pPr>
              <w:widowControl/>
              <w:jc w:val="left"/>
              <w:rPr>
                <w:rFonts w:ascii="仿宋_GB2312" w:hAnsi="仿宋" w:eastAsia="仿宋_GB2312" w:cs="Times New Roman"/>
                <w:color w:val="000000"/>
              </w:rPr>
            </w:pPr>
          </w:p>
        </w:tc>
        <w:tc>
          <w:tcPr>
            <w:tcW w:w="506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52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721"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8" w:type="dxa"/>
            <w:vMerge w:val="continue"/>
            <w:vAlign w:val="center"/>
          </w:tcPr>
          <w:p>
            <w:pPr>
              <w:widowControl/>
              <w:jc w:val="left"/>
              <w:rPr>
                <w:rFonts w:ascii="仿宋_GB2312" w:hAnsi="仿宋" w:eastAsia="仿宋_GB2312" w:cs="Times New Roman"/>
                <w:color w:val="000000"/>
              </w:rPr>
            </w:pPr>
          </w:p>
        </w:tc>
        <w:tc>
          <w:tcPr>
            <w:tcW w:w="506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52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721"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8" w:type="dxa"/>
            <w:vMerge w:val="continue"/>
            <w:vAlign w:val="center"/>
          </w:tcPr>
          <w:p>
            <w:pPr>
              <w:widowControl/>
              <w:jc w:val="left"/>
              <w:rPr>
                <w:rFonts w:ascii="仿宋_GB2312" w:hAnsi="仿宋" w:eastAsia="仿宋_GB2312" w:cs="Times New Roman"/>
                <w:color w:val="000000"/>
              </w:rPr>
            </w:pPr>
          </w:p>
        </w:tc>
        <w:tc>
          <w:tcPr>
            <w:tcW w:w="506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52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21"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8" w:type="dxa"/>
            <w:vMerge w:val="continue"/>
            <w:vAlign w:val="center"/>
          </w:tcPr>
          <w:p>
            <w:pPr>
              <w:widowControl/>
              <w:jc w:val="left"/>
              <w:rPr>
                <w:rFonts w:ascii="仿宋_GB2312" w:hAnsi="仿宋" w:eastAsia="仿宋_GB2312" w:cs="Times New Roman"/>
                <w:color w:val="000000"/>
              </w:rPr>
            </w:pPr>
          </w:p>
        </w:tc>
        <w:tc>
          <w:tcPr>
            <w:tcW w:w="506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52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21"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8" w:type="dxa"/>
            <w:vMerge w:val="continue"/>
            <w:vAlign w:val="center"/>
          </w:tcPr>
          <w:p>
            <w:pPr>
              <w:widowControl/>
              <w:jc w:val="left"/>
              <w:rPr>
                <w:rFonts w:ascii="仿宋_GB2312" w:hAnsi="仿宋" w:eastAsia="仿宋_GB2312" w:cs="Times New Roman"/>
                <w:color w:val="000000"/>
              </w:rPr>
            </w:pPr>
          </w:p>
        </w:tc>
        <w:tc>
          <w:tcPr>
            <w:tcW w:w="506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52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1"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8" w:type="dxa"/>
            <w:vMerge w:val="continue"/>
            <w:vAlign w:val="center"/>
          </w:tcPr>
          <w:p>
            <w:pPr>
              <w:widowControl/>
              <w:jc w:val="left"/>
              <w:rPr>
                <w:rFonts w:ascii="仿宋_GB2312" w:hAnsi="仿宋" w:eastAsia="仿宋_GB2312" w:cs="Times New Roman"/>
                <w:color w:val="000000"/>
              </w:rPr>
            </w:pPr>
          </w:p>
        </w:tc>
        <w:tc>
          <w:tcPr>
            <w:tcW w:w="506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52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4941"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jc w:val="left"/>
        <w:rPr>
          <w:rFonts w:ascii="仿宋" w:hAnsi="仿宋" w:eastAsia="仿宋" w:cs="Times New Roman"/>
          <w:b/>
          <w:bCs/>
          <w:color w:val="000000"/>
          <w:sz w:val="32"/>
        </w:rPr>
      </w:pPr>
    </w:p>
    <w:tbl>
      <w:tblPr>
        <w:tblStyle w:val="7"/>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756"/>
        <w:gridCol w:w="5018"/>
        <w:gridCol w:w="4989"/>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756"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5018"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4989"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372"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756"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擅自跨省经营烟草专卖品批发业务处罚</w:t>
            </w:r>
          </w:p>
        </w:tc>
        <w:tc>
          <w:tcPr>
            <w:tcW w:w="5018"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十二条：“申请领取烟草专卖批发企业许可证，进行跨省、自治区、直辖市经营的，应当向省级烟草专卖行政主管部门提出申请，由省级烟草专卖行政主管部门审查签署意见，报国务院烟草专卖行政主管部门审批发证。</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申请领取烟草专卖批发企业许可证，在省、自治区、直辖市范围内经营的，应当向企业所在地烟草专卖行政主管部门提出申请，由企业所在地烟草专卖行政主管部门审查签署意见，报省级烟草专卖行政主管部门审批发证。”</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五十九条：“违反本条例规定，未取得国务院烟草专卖行政主管部门颁发的烟草专卖批发企业许可证，擅自跨省、自治区、直辖市从事烟草制品批发业务的，由烟草专卖行政主管部门处以批发总额10%以上20%以下的罚款。”</w:t>
            </w:r>
          </w:p>
          <w:p>
            <w:pPr>
              <w:spacing w:line="240" w:lineRule="exact"/>
              <w:rPr>
                <w:rFonts w:ascii="仿宋_GB2312" w:hAnsi="仿宋" w:eastAsia="仿宋_GB2312" w:cs="Times New Roman"/>
                <w:color w:val="000000"/>
              </w:rPr>
            </w:pPr>
          </w:p>
        </w:tc>
        <w:tc>
          <w:tcPr>
            <w:tcW w:w="4989"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372"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018" w:type="dxa"/>
            <w:vMerge w:val="continue"/>
            <w:vAlign w:val="center"/>
          </w:tcPr>
          <w:p>
            <w:pPr>
              <w:widowControl/>
              <w:jc w:val="left"/>
              <w:rPr>
                <w:rFonts w:ascii="仿宋_GB2312" w:hAnsi="仿宋" w:eastAsia="仿宋_GB2312" w:cs="Times New Roman"/>
                <w:color w:val="000000"/>
              </w:rPr>
            </w:pPr>
          </w:p>
        </w:tc>
        <w:tc>
          <w:tcPr>
            <w:tcW w:w="4989"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018" w:type="dxa"/>
            <w:vMerge w:val="continue"/>
            <w:vAlign w:val="center"/>
          </w:tcPr>
          <w:p>
            <w:pPr>
              <w:widowControl/>
              <w:jc w:val="left"/>
              <w:rPr>
                <w:rFonts w:ascii="仿宋_GB2312" w:hAnsi="仿宋" w:eastAsia="仿宋_GB2312" w:cs="Times New Roman"/>
                <w:color w:val="000000"/>
              </w:rPr>
            </w:pPr>
          </w:p>
        </w:tc>
        <w:tc>
          <w:tcPr>
            <w:tcW w:w="4989"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3.审查责任：烟草专卖行政主管部门的法治部门或者法治员对案件违法事实、证据、调查取证、法律适用、处罚种类和幅度、当事人陈述理由等进行法治审核，提出处理意见。</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018" w:type="dxa"/>
            <w:vMerge w:val="continue"/>
            <w:vAlign w:val="center"/>
          </w:tcPr>
          <w:p>
            <w:pPr>
              <w:widowControl/>
              <w:jc w:val="left"/>
              <w:rPr>
                <w:rFonts w:ascii="仿宋_GB2312" w:hAnsi="仿宋" w:eastAsia="仿宋_GB2312" w:cs="Times New Roman"/>
                <w:color w:val="000000"/>
              </w:rPr>
            </w:pPr>
          </w:p>
        </w:tc>
        <w:tc>
          <w:tcPr>
            <w:tcW w:w="4989"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018" w:type="dxa"/>
            <w:vMerge w:val="continue"/>
            <w:vAlign w:val="center"/>
          </w:tcPr>
          <w:p>
            <w:pPr>
              <w:widowControl/>
              <w:jc w:val="left"/>
              <w:rPr>
                <w:rFonts w:ascii="仿宋_GB2312" w:hAnsi="仿宋" w:eastAsia="仿宋_GB2312" w:cs="Times New Roman"/>
                <w:color w:val="000000"/>
              </w:rPr>
            </w:pPr>
          </w:p>
        </w:tc>
        <w:tc>
          <w:tcPr>
            <w:tcW w:w="4989"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018" w:type="dxa"/>
            <w:vMerge w:val="continue"/>
            <w:vAlign w:val="center"/>
          </w:tcPr>
          <w:p>
            <w:pPr>
              <w:widowControl/>
              <w:jc w:val="left"/>
              <w:rPr>
                <w:rFonts w:ascii="仿宋_GB2312" w:hAnsi="仿宋" w:eastAsia="仿宋_GB2312" w:cs="Times New Roman"/>
                <w:color w:val="000000"/>
              </w:rPr>
            </w:pPr>
          </w:p>
        </w:tc>
        <w:tc>
          <w:tcPr>
            <w:tcW w:w="4989"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018" w:type="dxa"/>
            <w:vMerge w:val="continue"/>
            <w:vAlign w:val="center"/>
          </w:tcPr>
          <w:p>
            <w:pPr>
              <w:widowControl/>
              <w:jc w:val="left"/>
              <w:rPr>
                <w:rFonts w:ascii="仿宋_GB2312" w:hAnsi="仿宋" w:eastAsia="仿宋_GB2312" w:cs="Times New Roman"/>
                <w:color w:val="000000"/>
              </w:rPr>
            </w:pPr>
          </w:p>
        </w:tc>
        <w:tc>
          <w:tcPr>
            <w:tcW w:w="4989"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756" w:type="dxa"/>
            <w:vMerge w:val="continue"/>
            <w:vAlign w:val="center"/>
          </w:tcPr>
          <w:p>
            <w:pPr>
              <w:widowControl/>
              <w:jc w:val="left"/>
              <w:rPr>
                <w:rFonts w:ascii="仿宋_GB2312" w:hAnsi="仿宋" w:eastAsia="仿宋_GB2312" w:cs="Times New Roman"/>
                <w:color w:val="000000"/>
              </w:rPr>
            </w:pPr>
          </w:p>
        </w:tc>
        <w:tc>
          <w:tcPr>
            <w:tcW w:w="5018" w:type="dxa"/>
            <w:vMerge w:val="continue"/>
            <w:vAlign w:val="center"/>
          </w:tcPr>
          <w:p>
            <w:pPr>
              <w:widowControl/>
              <w:jc w:val="left"/>
              <w:rPr>
                <w:rFonts w:ascii="仿宋_GB2312" w:hAnsi="仿宋" w:eastAsia="仿宋_GB2312" w:cs="Times New Roman"/>
                <w:color w:val="000000"/>
              </w:rPr>
            </w:pPr>
          </w:p>
        </w:tc>
        <w:tc>
          <w:tcPr>
            <w:tcW w:w="4989"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55"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jc w:val="left"/>
        <w:rPr>
          <w:rFonts w:ascii="仿宋" w:hAnsi="仿宋" w:eastAsia="仿宋" w:cs="Times New Roman"/>
          <w:b/>
          <w:bCs/>
          <w:color w:val="000000"/>
          <w:sz w:val="32"/>
        </w:rPr>
      </w:pPr>
    </w:p>
    <w:tbl>
      <w:tblPr>
        <w:tblStyle w:val="7"/>
        <w:tblW w:w="14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71"/>
        <w:gridCol w:w="4818"/>
        <w:gridCol w:w="5272"/>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67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4819"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273"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23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671"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向无烟草专卖生产企业许可证的单位或者个人销售卷烟纸、滤嘴棒、烟用丝束、烟草专用机械</w:t>
            </w:r>
          </w:p>
          <w:p>
            <w:pPr>
              <w:spacing w:line="240" w:lineRule="exact"/>
              <w:rPr>
                <w:rFonts w:ascii="仿宋_GB2312" w:hAnsi="仿宋" w:eastAsia="仿宋_GB2312" w:cs="Times New Roman"/>
                <w:color w:val="000000"/>
              </w:rPr>
            </w:pPr>
          </w:p>
        </w:tc>
        <w:tc>
          <w:tcPr>
            <w:tcW w:w="4819"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三十六条：“烟草专卖批发企业和烟草制品生产企业只能从取得烟草专卖生产企业许可证的企业购买卷烟纸、滤嘴棒、烟用丝束和烟草专用机械。卷烟纸、滤嘴棒、烟用丝束、烟草专用机械的生产企业不得将其产品销售给无烟草专卖生产企业许可证的单位或者个人。”</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六十条：“违反本条例第二十六条、第三十六条第二款规定，为无烟草专卖许可证的单位或者个人提供烟草专卖品的，由烟草专卖行政主管部门没收违法所得，并处以销售总额百分之二十以上百分之五十以下的罚款。”</w:t>
            </w:r>
          </w:p>
          <w:p>
            <w:pPr>
              <w:spacing w:line="240" w:lineRule="exac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231"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714"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jc w:val="left"/>
        <w:rPr>
          <w:rFonts w:ascii="仿宋" w:hAnsi="仿宋" w:eastAsia="仿宋" w:cs="Times New Roman"/>
          <w:b/>
          <w:bCs/>
          <w:color w:val="000000"/>
          <w:sz w:val="32"/>
        </w:rPr>
      </w:pPr>
    </w:p>
    <w:tbl>
      <w:tblPr>
        <w:tblStyle w:val="7"/>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11"/>
        <w:gridCol w:w="5386"/>
        <w:gridCol w:w="4820"/>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81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5386"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48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118"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p>
          <w:p>
            <w:pPr>
              <w:spacing w:line="240" w:lineRule="exact"/>
              <w:jc w:val="center"/>
              <w:rPr>
                <w:rFonts w:ascii="仿宋_GB2312" w:hAnsi="仿宋" w:eastAsia="仿宋_GB2312" w:cs="Times New Roman"/>
                <w:color w:val="000000"/>
              </w:rPr>
            </w:pPr>
          </w:p>
          <w:p>
            <w:pPr>
              <w:spacing w:line="240" w:lineRule="exact"/>
              <w:jc w:val="center"/>
              <w:rPr>
                <w:rFonts w:ascii="仿宋_GB2312" w:hAnsi="仿宋" w:eastAsia="仿宋_GB2312" w:cs="Times New Roman"/>
                <w:color w:val="000000"/>
              </w:rPr>
            </w:pPr>
          </w:p>
          <w:p>
            <w:pPr>
              <w:spacing w:line="240" w:lineRule="exact"/>
              <w:jc w:val="center"/>
              <w:rPr>
                <w:rFonts w:ascii="仿宋_GB2312" w:hAnsi="仿宋" w:eastAsia="仿宋_GB2312" w:cs="Times New Roman"/>
                <w:color w:val="000000"/>
              </w:rPr>
            </w:pPr>
          </w:p>
          <w:p>
            <w:pPr>
              <w:spacing w:line="240" w:lineRule="exact"/>
              <w:jc w:val="center"/>
              <w:rPr>
                <w:rFonts w:ascii="仿宋_GB2312" w:hAnsi="仿宋" w:eastAsia="仿宋_GB2312" w:cs="Times New Roman"/>
                <w:color w:val="000000"/>
              </w:rPr>
            </w:pPr>
          </w:p>
          <w:p>
            <w:pPr>
              <w:spacing w:line="240" w:lineRule="exact"/>
              <w:jc w:val="center"/>
              <w:rPr>
                <w:rFonts w:ascii="仿宋_GB2312" w:hAnsi="仿宋" w:eastAsia="仿宋_GB2312" w:cs="Times New Roman"/>
                <w:color w:val="000000"/>
              </w:rPr>
            </w:pPr>
          </w:p>
          <w:p>
            <w:pPr>
              <w:spacing w:line="240" w:lineRule="exact"/>
              <w:jc w:val="center"/>
              <w:rPr>
                <w:rFonts w:ascii="仿宋_GB2312" w:hAnsi="仿宋" w:eastAsia="仿宋_GB2312" w:cs="Times New Roman"/>
                <w:color w:val="000000"/>
              </w:rPr>
            </w:pPr>
          </w:p>
          <w:p>
            <w:pPr>
              <w:spacing w:line="240" w:lineRule="exact"/>
              <w:jc w:val="center"/>
              <w:rPr>
                <w:rFonts w:ascii="仿宋_GB2312" w:hAnsi="仿宋" w:eastAsia="仿宋_GB2312" w:cs="Times New Roman"/>
                <w:color w:val="000000"/>
              </w:rPr>
            </w:pPr>
          </w:p>
          <w:p>
            <w:pPr>
              <w:spacing w:line="240" w:lineRule="exact"/>
              <w:jc w:val="center"/>
              <w:rPr>
                <w:rFonts w:ascii="仿宋_GB2312" w:hAnsi="仿宋" w:eastAsia="仿宋_GB2312" w:cs="Times New Roman"/>
                <w:color w:val="000000"/>
              </w:rPr>
            </w:pP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p>
            <w:pPr>
              <w:spacing w:line="240" w:lineRule="exact"/>
              <w:rPr>
                <w:rFonts w:ascii="仿宋_GB2312" w:hAnsi="仿宋" w:eastAsia="仿宋_GB2312" w:cs="Times New Roman"/>
                <w:color w:val="000000"/>
              </w:rPr>
            </w:pPr>
          </w:p>
          <w:p>
            <w:pPr>
              <w:spacing w:line="240" w:lineRule="exact"/>
              <w:rPr>
                <w:rFonts w:ascii="仿宋_GB2312" w:hAnsi="仿宋" w:eastAsia="仿宋_GB2312" w:cs="Times New Roman"/>
                <w:color w:val="000000"/>
              </w:rPr>
            </w:pPr>
          </w:p>
          <w:p>
            <w:pPr>
              <w:spacing w:line="240" w:lineRule="exact"/>
              <w:rPr>
                <w:rFonts w:ascii="仿宋_GB2312" w:hAnsi="仿宋" w:eastAsia="仿宋_GB2312" w:cs="Times New Roman"/>
                <w:color w:val="000000"/>
              </w:rPr>
            </w:pPr>
          </w:p>
          <w:p>
            <w:pPr>
              <w:spacing w:line="240" w:lineRule="exact"/>
              <w:rPr>
                <w:rFonts w:ascii="仿宋_GB2312" w:hAnsi="仿宋" w:eastAsia="仿宋_GB2312" w:cs="Times New Roman"/>
                <w:color w:val="000000"/>
              </w:rPr>
            </w:pPr>
          </w:p>
          <w:p>
            <w:pPr>
              <w:spacing w:line="240" w:lineRule="exact"/>
              <w:rPr>
                <w:rFonts w:ascii="仿宋_GB2312" w:hAnsi="仿宋" w:eastAsia="仿宋_GB2312" w:cs="Times New Roman"/>
                <w:color w:val="000000"/>
              </w:rPr>
            </w:pPr>
          </w:p>
          <w:p>
            <w:pPr>
              <w:spacing w:line="240" w:lineRule="exact"/>
              <w:rPr>
                <w:rFonts w:ascii="仿宋_GB2312" w:hAnsi="仿宋" w:eastAsia="仿宋_GB2312" w:cs="Times New Roman"/>
                <w:color w:val="000000"/>
              </w:rPr>
            </w:pPr>
          </w:p>
          <w:p>
            <w:pPr>
              <w:spacing w:line="240" w:lineRule="exact"/>
              <w:rPr>
                <w:rFonts w:ascii="仿宋_GB2312" w:hAnsi="仿宋" w:eastAsia="仿宋_GB2312" w:cs="Times New Roman"/>
                <w:color w:val="000000"/>
              </w:rPr>
            </w:pPr>
          </w:p>
          <w:p>
            <w:pPr>
              <w:spacing w:line="240" w:lineRule="exact"/>
              <w:rPr>
                <w:rFonts w:ascii="仿宋_GB2312" w:hAnsi="仿宋" w:eastAsia="仿宋_GB2312" w:cs="Times New Roman"/>
                <w:color w:val="000000"/>
              </w:rPr>
            </w:pPr>
          </w:p>
          <w:p>
            <w:pPr>
              <w:spacing w:line="240" w:lineRule="exact"/>
              <w:rPr>
                <w:rFonts w:ascii="仿宋_GB2312" w:hAnsi="仿宋" w:eastAsia="仿宋_GB2312" w:cs="Times New Roman"/>
                <w:color w:val="000000"/>
              </w:rPr>
            </w:pPr>
          </w:p>
          <w:p>
            <w:pPr>
              <w:spacing w:line="240" w:lineRule="exact"/>
              <w:rPr>
                <w:rFonts w:ascii="仿宋_GB2312" w:hAnsi="仿宋" w:eastAsia="仿宋_GB2312" w:cs="Times New Roman"/>
                <w:color w:val="000000"/>
              </w:rPr>
            </w:pPr>
          </w:p>
          <w:p>
            <w:pPr>
              <w:spacing w:line="240" w:lineRule="exact"/>
              <w:rPr>
                <w:rFonts w:ascii="仿宋_GB2312" w:hAnsi="仿宋" w:eastAsia="仿宋_GB2312" w:cs="Times New Roman"/>
                <w:color w:val="000000"/>
              </w:rPr>
            </w:pPr>
          </w:p>
        </w:tc>
        <w:tc>
          <w:tcPr>
            <w:tcW w:w="811" w:type="dxa"/>
            <w:vMerge w:val="restart"/>
            <w:vAlign w:val="center"/>
          </w:tcPr>
          <w:p>
            <w:pPr>
              <w:widowControl/>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从无证企业购买卷烟纸、滤嘴棒、烟用丝束、烟草专用机械的</w:t>
            </w:r>
          </w:p>
          <w:p>
            <w:pPr>
              <w:spacing w:line="240" w:lineRule="exact"/>
              <w:rPr>
                <w:rFonts w:ascii="仿宋_GB2312" w:hAnsi="仿宋" w:eastAsia="仿宋_GB2312" w:cs="Times New Roman"/>
                <w:color w:val="000000"/>
              </w:rPr>
            </w:pPr>
          </w:p>
        </w:tc>
        <w:tc>
          <w:tcPr>
            <w:tcW w:w="5386"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《中华人民共和国烟草专卖法实施条例》第三十六条：“烟草专卖批发企业和烟草制品生产企业只能从取得烟草专卖生产企业许可证的企业购买卷烟纸、滤嘴棒、烟用丝束和烟草专用机械。</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卷烟纸、滤嘴棒、烟用丝束、烟草专用机械的生产企业不得将其产品销售给无烟草专卖生产企业许可证的单位或者个人。”</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六十一条：“违反本条例第三十六条第一款规定，烟草专卖批发企业和烟草制品生产企业从无烟草专卖生产企业许可证的企业购买卷烟纸、滤嘴棒、烟用丝束、烟草专用机械的，由烟草专卖行政主管部门处以所购烟草专卖品价值百分之五十以上一倍以下的罚款。”</w:t>
            </w:r>
          </w:p>
          <w:p>
            <w:pPr>
              <w:spacing w:line="240" w:lineRule="exac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118"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11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11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11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11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11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11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6" w:type="dxa"/>
            <w:vMerge w:val="continue"/>
            <w:vAlign w:val="center"/>
          </w:tcPr>
          <w:p>
            <w:pPr>
              <w:widowControl/>
              <w:jc w:val="left"/>
              <w:rPr>
                <w:rFonts w:ascii="仿宋_GB2312" w:hAnsi="仿宋" w:eastAsia="仿宋_GB2312" w:cs="Times New Roman"/>
                <w:color w:val="000000"/>
              </w:rPr>
            </w:pPr>
          </w:p>
        </w:tc>
        <w:tc>
          <w:tcPr>
            <w:tcW w:w="482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11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55"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rPr>
          <w:rFonts w:ascii="仿宋" w:hAnsi="仿宋" w:eastAsia="仿宋" w:cs="Times New Roman"/>
          <w:b/>
          <w:bCs/>
          <w:color w:val="000000"/>
          <w:sz w:val="32"/>
        </w:rPr>
      </w:pPr>
    </w:p>
    <w:tbl>
      <w:tblPr>
        <w:tblStyle w:val="7"/>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71"/>
        <w:gridCol w:w="4819"/>
        <w:gridCol w:w="5273"/>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67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4819"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273"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372"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671"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不按规定存放免税烟草制品处罚</w:t>
            </w:r>
          </w:p>
        </w:tc>
        <w:tc>
          <w:tcPr>
            <w:tcW w:w="4819"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四十一条：“免税进口的烟草制品应当存放在海关指定的保税仓库内，并由国务院烟草专卖行政主管部门指定的地方烟草专卖行政主管部门与海关共同加锁管理。海关凭国务院烟草专卖行政主管部门批准的免税进口计划分批核销免税进口外国烟草制品的数量。”</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第六十二条：“违反本条例第四十一条规定，免税进口的烟草制品不按规定存放在烟草制品保税仓库内的，可以处烟草制品价值百分之五十以下的罚款。”</w:t>
            </w:r>
          </w:p>
          <w:p>
            <w:pPr>
              <w:spacing w:line="240" w:lineRule="exac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372"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55"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rPr>
          <w:rFonts w:ascii="仿宋" w:hAnsi="仿宋" w:eastAsia="仿宋" w:cs="Times New Roman"/>
          <w:b/>
          <w:bCs/>
          <w:color w:val="000000"/>
          <w:sz w:val="32"/>
        </w:rPr>
      </w:pPr>
    </w:p>
    <w:tbl>
      <w:tblPr>
        <w:tblStyle w:val="7"/>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69"/>
        <w:gridCol w:w="5103"/>
        <w:gridCol w:w="499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669"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5103"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499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372"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669"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在海关监管区内经营免税的卷烟、雪茄烟未在小包、条包上标注国务院烟草专卖行政主管部门规定的专门标志的</w:t>
            </w:r>
          </w:p>
        </w:tc>
        <w:tc>
          <w:tcPr>
            <w:tcW w:w="5103"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《中华人民共和国烟草专卖法实施条例》第四十二条：“在海关监管区内经营免税的卷烟、雪茄烟的，只能零售，并应当在卷烟、雪茄烟的小包、条包上标注国务院烟草专卖行政主管部门规定的专门标志。”</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第六十三条：“违反本条例第四十二条规定，在海关监管区内经营免税的卷烟、雪茄烟没有在小包、条包上标注国务院烟草专卖行政主管部门规定的专门标志的，可以处非法经营总额50%以下的罚款。”</w:t>
            </w:r>
          </w:p>
          <w:p>
            <w:pPr>
              <w:spacing w:line="240" w:lineRule="exact"/>
              <w:rPr>
                <w:rFonts w:ascii="仿宋_GB2312" w:hAnsi="仿宋" w:eastAsia="仿宋_GB2312" w:cs="Times New Roman"/>
                <w:color w:val="000000"/>
              </w:rPr>
            </w:pPr>
          </w:p>
        </w:tc>
        <w:tc>
          <w:tcPr>
            <w:tcW w:w="499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372"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69" w:type="dxa"/>
            <w:vMerge w:val="continue"/>
            <w:vAlign w:val="center"/>
          </w:tcPr>
          <w:p>
            <w:pPr>
              <w:widowControl/>
              <w:jc w:val="left"/>
              <w:rPr>
                <w:rFonts w:ascii="仿宋_GB2312" w:hAnsi="仿宋" w:eastAsia="仿宋_GB2312" w:cs="Times New Roman"/>
                <w:color w:val="000000"/>
              </w:rPr>
            </w:pPr>
          </w:p>
        </w:tc>
        <w:tc>
          <w:tcPr>
            <w:tcW w:w="5103" w:type="dxa"/>
            <w:vMerge w:val="continue"/>
            <w:vAlign w:val="center"/>
          </w:tcPr>
          <w:p>
            <w:pPr>
              <w:widowControl/>
              <w:jc w:val="left"/>
              <w:rPr>
                <w:rFonts w:ascii="仿宋_GB2312" w:hAnsi="仿宋" w:eastAsia="仿宋_GB2312" w:cs="Times New Roman"/>
                <w:color w:val="000000"/>
              </w:rPr>
            </w:pPr>
          </w:p>
        </w:tc>
        <w:tc>
          <w:tcPr>
            <w:tcW w:w="499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69" w:type="dxa"/>
            <w:vMerge w:val="continue"/>
            <w:vAlign w:val="center"/>
          </w:tcPr>
          <w:p>
            <w:pPr>
              <w:widowControl/>
              <w:jc w:val="left"/>
              <w:rPr>
                <w:rFonts w:ascii="仿宋_GB2312" w:hAnsi="仿宋" w:eastAsia="仿宋_GB2312" w:cs="Times New Roman"/>
                <w:color w:val="000000"/>
              </w:rPr>
            </w:pPr>
          </w:p>
        </w:tc>
        <w:tc>
          <w:tcPr>
            <w:tcW w:w="5103" w:type="dxa"/>
            <w:vMerge w:val="continue"/>
            <w:vAlign w:val="center"/>
          </w:tcPr>
          <w:p>
            <w:pPr>
              <w:widowControl/>
              <w:jc w:val="left"/>
              <w:rPr>
                <w:rFonts w:ascii="仿宋_GB2312" w:hAnsi="仿宋" w:eastAsia="仿宋_GB2312" w:cs="Times New Roman"/>
                <w:color w:val="000000"/>
              </w:rPr>
            </w:pPr>
          </w:p>
        </w:tc>
        <w:tc>
          <w:tcPr>
            <w:tcW w:w="499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69" w:type="dxa"/>
            <w:vMerge w:val="continue"/>
            <w:vAlign w:val="center"/>
          </w:tcPr>
          <w:p>
            <w:pPr>
              <w:widowControl/>
              <w:jc w:val="left"/>
              <w:rPr>
                <w:rFonts w:ascii="仿宋_GB2312" w:hAnsi="仿宋" w:eastAsia="仿宋_GB2312" w:cs="Times New Roman"/>
                <w:color w:val="000000"/>
              </w:rPr>
            </w:pPr>
          </w:p>
        </w:tc>
        <w:tc>
          <w:tcPr>
            <w:tcW w:w="5103" w:type="dxa"/>
            <w:vMerge w:val="continue"/>
            <w:vAlign w:val="center"/>
          </w:tcPr>
          <w:p>
            <w:pPr>
              <w:widowControl/>
              <w:jc w:val="left"/>
              <w:rPr>
                <w:rFonts w:ascii="仿宋_GB2312" w:hAnsi="仿宋" w:eastAsia="仿宋_GB2312" w:cs="Times New Roman"/>
                <w:color w:val="000000"/>
              </w:rPr>
            </w:pPr>
          </w:p>
        </w:tc>
        <w:tc>
          <w:tcPr>
            <w:tcW w:w="499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69" w:type="dxa"/>
            <w:vMerge w:val="continue"/>
            <w:vAlign w:val="center"/>
          </w:tcPr>
          <w:p>
            <w:pPr>
              <w:widowControl/>
              <w:jc w:val="left"/>
              <w:rPr>
                <w:rFonts w:ascii="仿宋_GB2312" w:hAnsi="仿宋" w:eastAsia="仿宋_GB2312" w:cs="Times New Roman"/>
                <w:color w:val="000000"/>
              </w:rPr>
            </w:pPr>
          </w:p>
        </w:tc>
        <w:tc>
          <w:tcPr>
            <w:tcW w:w="5103" w:type="dxa"/>
            <w:vMerge w:val="continue"/>
            <w:vAlign w:val="center"/>
          </w:tcPr>
          <w:p>
            <w:pPr>
              <w:widowControl/>
              <w:jc w:val="left"/>
              <w:rPr>
                <w:rFonts w:ascii="仿宋_GB2312" w:hAnsi="仿宋" w:eastAsia="仿宋_GB2312" w:cs="Times New Roman"/>
                <w:color w:val="000000"/>
              </w:rPr>
            </w:pPr>
          </w:p>
        </w:tc>
        <w:tc>
          <w:tcPr>
            <w:tcW w:w="499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69" w:type="dxa"/>
            <w:vMerge w:val="continue"/>
            <w:vAlign w:val="center"/>
          </w:tcPr>
          <w:p>
            <w:pPr>
              <w:widowControl/>
              <w:jc w:val="left"/>
              <w:rPr>
                <w:rFonts w:ascii="仿宋_GB2312" w:hAnsi="仿宋" w:eastAsia="仿宋_GB2312" w:cs="Times New Roman"/>
                <w:color w:val="000000"/>
              </w:rPr>
            </w:pPr>
          </w:p>
        </w:tc>
        <w:tc>
          <w:tcPr>
            <w:tcW w:w="5103" w:type="dxa"/>
            <w:vMerge w:val="continue"/>
            <w:vAlign w:val="center"/>
          </w:tcPr>
          <w:p>
            <w:pPr>
              <w:widowControl/>
              <w:jc w:val="left"/>
              <w:rPr>
                <w:rFonts w:ascii="仿宋_GB2312" w:hAnsi="仿宋" w:eastAsia="仿宋_GB2312" w:cs="Times New Roman"/>
                <w:color w:val="000000"/>
              </w:rPr>
            </w:pPr>
          </w:p>
        </w:tc>
        <w:tc>
          <w:tcPr>
            <w:tcW w:w="499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69" w:type="dxa"/>
            <w:vMerge w:val="continue"/>
            <w:vAlign w:val="center"/>
          </w:tcPr>
          <w:p>
            <w:pPr>
              <w:widowControl/>
              <w:jc w:val="left"/>
              <w:rPr>
                <w:rFonts w:ascii="仿宋_GB2312" w:hAnsi="仿宋" w:eastAsia="仿宋_GB2312" w:cs="Times New Roman"/>
                <w:color w:val="000000"/>
              </w:rPr>
            </w:pPr>
          </w:p>
        </w:tc>
        <w:tc>
          <w:tcPr>
            <w:tcW w:w="5103" w:type="dxa"/>
            <w:vMerge w:val="continue"/>
            <w:vAlign w:val="center"/>
          </w:tcPr>
          <w:p>
            <w:pPr>
              <w:widowControl/>
              <w:jc w:val="left"/>
              <w:rPr>
                <w:rFonts w:ascii="仿宋_GB2312" w:hAnsi="仿宋" w:eastAsia="仿宋_GB2312" w:cs="Times New Roman"/>
                <w:color w:val="000000"/>
              </w:rPr>
            </w:pPr>
          </w:p>
        </w:tc>
        <w:tc>
          <w:tcPr>
            <w:tcW w:w="499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69" w:type="dxa"/>
            <w:vMerge w:val="continue"/>
            <w:vAlign w:val="center"/>
          </w:tcPr>
          <w:p>
            <w:pPr>
              <w:widowControl/>
              <w:jc w:val="left"/>
              <w:rPr>
                <w:rFonts w:ascii="仿宋_GB2312" w:hAnsi="仿宋" w:eastAsia="仿宋_GB2312" w:cs="Times New Roman"/>
                <w:color w:val="000000"/>
              </w:rPr>
            </w:pPr>
          </w:p>
        </w:tc>
        <w:tc>
          <w:tcPr>
            <w:tcW w:w="5103" w:type="dxa"/>
            <w:vMerge w:val="continue"/>
            <w:vAlign w:val="center"/>
          </w:tcPr>
          <w:p>
            <w:pPr>
              <w:widowControl/>
              <w:jc w:val="left"/>
              <w:rPr>
                <w:rFonts w:ascii="仿宋_GB2312" w:hAnsi="仿宋" w:eastAsia="仿宋_GB2312" w:cs="Times New Roman"/>
                <w:color w:val="000000"/>
              </w:rPr>
            </w:pPr>
          </w:p>
        </w:tc>
        <w:tc>
          <w:tcPr>
            <w:tcW w:w="499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55"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rPr>
          <w:rFonts w:ascii="仿宋" w:hAnsi="仿宋" w:eastAsia="仿宋" w:cs="Times New Roman"/>
          <w:b/>
          <w:bCs/>
          <w:color w:val="000000"/>
          <w:sz w:val="32"/>
        </w:rPr>
      </w:pPr>
    </w:p>
    <w:tbl>
      <w:tblPr>
        <w:tblStyle w:val="7"/>
        <w:tblW w:w="14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71"/>
        <w:gridCol w:w="5247"/>
        <w:gridCol w:w="4849"/>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67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5245"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4847"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247"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671"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拍卖企业未对竞买人进行资格验证，或者不接受烟草专卖行政主管部门的监督，擅自拍卖烟草专卖品处罚</w:t>
            </w:r>
          </w:p>
        </w:tc>
        <w:tc>
          <w:tcPr>
            <w:tcW w:w="5245"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四十八条：“人民法院和行政机关依法没收的烟草专卖品以及充抵罚金、罚款和税款的烟草专卖品，按照国家有关规定进行拍卖的，竞买人应当持有烟草专卖批发企业许可证。</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依法设立的拍卖企业拍卖烟草专卖品，应当对竞买人进行资格验证。拍卖企业拍卖烟草专卖品，应当接受烟草专卖行政主管部门的监督。”</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六十四条：“违反本条例第四十八条规定，拍卖企业未对竞买人进行资格验证，或者不接受烟草专卖行政主管部门的监督，擅自拍卖烟草专卖品的，由烟草专卖行政主管部门处以拍卖的烟草专卖品价值20%以上50%以下的罚款，并依法取消其拍卖烟草专卖品的资格。”</w:t>
            </w:r>
          </w:p>
          <w:p>
            <w:pPr>
              <w:spacing w:line="240" w:lineRule="exact"/>
              <w:rPr>
                <w:rFonts w:ascii="仿宋_GB2312" w:hAnsi="仿宋" w:eastAsia="仿宋_GB2312" w:cs="Times New Roman"/>
                <w:color w:val="000000"/>
              </w:rPr>
            </w:pPr>
          </w:p>
        </w:tc>
        <w:tc>
          <w:tcPr>
            <w:tcW w:w="4847"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247"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4730"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245" w:type="dxa"/>
            <w:vMerge w:val="continue"/>
            <w:vAlign w:val="center"/>
          </w:tcPr>
          <w:p>
            <w:pPr>
              <w:widowControl/>
              <w:jc w:val="left"/>
              <w:rPr>
                <w:rFonts w:ascii="仿宋_GB2312" w:hAnsi="仿宋" w:eastAsia="仿宋_GB2312" w:cs="Times New Roman"/>
                <w:color w:val="000000"/>
              </w:rPr>
            </w:pPr>
          </w:p>
        </w:tc>
        <w:tc>
          <w:tcPr>
            <w:tcW w:w="4847"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247"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4730"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245" w:type="dxa"/>
            <w:vMerge w:val="continue"/>
            <w:vAlign w:val="center"/>
          </w:tcPr>
          <w:p>
            <w:pPr>
              <w:widowControl/>
              <w:jc w:val="left"/>
              <w:rPr>
                <w:rFonts w:ascii="仿宋_GB2312" w:hAnsi="仿宋" w:eastAsia="仿宋_GB2312" w:cs="Times New Roman"/>
                <w:color w:val="000000"/>
              </w:rPr>
            </w:pPr>
          </w:p>
        </w:tc>
        <w:tc>
          <w:tcPr>
            <w:tcW w:w="4847"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247"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4730"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245" w:type="dxa"/>
            <w:vMerge w:val="continue"/>
            <w:vAlign w:val="center"/>
          </w:tcPr>
          <w:p>
            <w:pPr>
              <w:widowControl/>
              <w:jc w:val="left"/>
              <w:rPr>
                <w:rFonts w:ascii="仿宋_GB2312" w:hAnsi="仿宋" w:eastAsia="仿宋_GB2312" w:cs="Times New Roman"/>
                <w:color w:val="000000"/>
              </w:rPr>
            </w:pPr>
          </w:p>
        </w:tc>
        <w:tc>
          <w:tcPr>
            <w:tcW w:w="4847"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247"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4730"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245" w:type="dxa"/>
            <w:vMerge w:val="continue"/>
            <w:vAlign w:val="center"/>
          </w:tcPr>
          <w:p>
            <w:pPr>
              <w:widowControl/>
              <w:jc w:val="left"/>
              <w:rPr>
                <w:rFonts w:ascii="仿宋_GB2312" w:hAnsi="仿宋" w:eastAsia="仿宋_GB2312" w:cs="Times New Roman"/>
                <w:color w:val="000000"/>
              </w:rPr>
            </w:pPr>
          </w:p>
        </w:tc>
        <w:tc>
          <w:tcPr>
            <w:tcW w:w="4847"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247"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730"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245" w:type="dxa"/>
            <w:vMerge w:val="continue"/>
            <w:vAlign w:val="center"/>
          </w:tcPr>
          <w:p>
            <w:pPr>
              <w:widowControl/>
              <w:jc w:val="left"/>
              <w:rPr>
                <w:rFonts w:ascii="仿宋_GB2312" w:hAnsi="仿宋" w:eastAsia="仿宋_GB2312" w:cs="Times New Roman"/>
                <w:color w:val="000000"/>
              </w:rPr>
            </w:pPr>
          </w:p>
        </w:tc>
        <w:tc>
          <w:tcPr>
            <w:tcW w:w="4847"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247"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4730"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245" w:type="dxa"/>
            <w:vMerge w:val="continue"/>
            <w:vAlign w:val="center"/>
          </w:tcPr>
          <w:p>
            <w:pPr>
              <w:widowControl/>
              <w:jc w:val="left"/>
              <w:rPr>
                <w:rFonts w:ascii="仿宋_GB2312" w:hAnsi="仿宋" w:eastAsia="仿宋_GB2312" w:cs="Times New Roman"/>
                <w:color w:val="000000"/>
              </w:rPr>
            </w:pPr>
          </w:p>
        </w:tc>
        <w:tc>
          <w:tcPr>
            <w:tcW w:w="4847"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247"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730"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5245" w:type="dxa"/>
            <w:vMerge w:val="continue"/>
            <w:vAlign w:val="center"/>
          </w:tcPr>
          <w:p>
            <w:pPr>
              <w:widowControl/>
              <w:jc w:val="left"/>
              <w:rPr>
                <w:rFonts w:ascii="仿宋_GB2312" w:hAnsi="仿宋" w:eastAsia="仿宋_GB2312" w:cs="Times New Roman"/>
                <w:color w:val="000000"/>
              </w:rPr>
            </w:pPr>
          </w:p>
        </w:tc>
        <w:tc>
          <w:tcPr>
            <w:tcW w:w="4847"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247"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730"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rPr>
          <w:rFonts w:ascii="仿宋" w:hAnsi="仿宋" w:eastAsia="仿宋" w:cs="Times New Roman"/>
          <w:b/>
          <w:bCs/>
          <w:color w:val="000000"/>
          <w:sz w:val="32"/>
        </w:rPr>
      </w:pPr>
    </w:p>
    <w:p>
      <w:pPr>
        <w:spacing w:line="60" w:lineRule="exact"/>
        <w:rPr>
          <w:rFonts w:ascii="仿宋" w:hAnsi="仿宋" w:eastAsia="仿宋" w:cs="Times New Roman"/>
          <w:b/>
          <w:bCs/>
          <w:color w:val="000000"/>
          <w:sz w:val="32"/>
        </w:rPr>
      </w:pPr>
    </w:p>
    <w:tbl>
      <w:tblPr>
        <w:tblStyle w:val="7"/>
        <w:tblW w:w="14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27"/>
        <w:gridCol w:w="4535"/>
        <w:gridCol w:w="5399"/>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827"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4536"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40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23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827"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隐瞒情况或提供虚假材料申请烟草专卖许可证处罚</w:t>
            </w:r>
          </w:p>
        </w:tc>
        <w:tc>
          <w:tcPr>
            <w:tcW w:w="4536"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《烟草专卖许可证管理办法》第五十四条：“因申请人隐瞒有关情况或者提供虚假材料的，应当不予受理或者不予发证，给予警告；申请人在一年内不得再次申请烟草专卖许可证。”</w:t>
            </w:r>
          </w:p>
          <w:p>
            <w:pPr>
              <w:spacing w:line="240" w:lineRule="exact"/>
              <w:rPr>
                <w:rFonts w:ascii="仿宋_GB2312" w:hAnsi="仿宋" w:eastAsia="仿宋_GB2312" w:cs="Times New Roman"/>
                <w:color w:val="000000"/>
              </w:rPr>
            </w:pPr>
          </w:p>
        </w:tc>
        <w:tc>
          <w:tcPr>
            <w:tcW w:w="540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231"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0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0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0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0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0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0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00"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714"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rPr>
          <w:rFonts w:ascii="仿宋" w:hAnsi="仿宋" w:eastAsia="仿宋" w:cs="Times New Roman"/>
          <w:b/>
          <w:bCs/>
          <w:color w:val="000000"/>
          <w:sz w:val="32"/>
        </w:rPr>
      </w:pPr>
    </w:p>
    <w:p>
      <w:pPr>
        <w:spacing w:line="320" w:lineRule="exact"/>
        <w:rPr>
          <w:rFonts w:ascii="仿宋" w:hAnsi="仿宋" w:eastAsia="仿宋" w:cs="Times New Roman"/>
          <w:b/>
          <w:bCs/>
          <w:color w:val="000000"/>
          <w:sz w:val="32"/>
        </w:rPr>
      </w:pPr>
    </w:p>
    <w:tbl>
      <w:tblPr>
        <w:tblStyle w:val="7"/>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71"/>
        <w:gridCol w:w="4111"/>
        <w:gridCol w:w="598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67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411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98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372"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671"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非法取得烟草专卖品准运证</w:t>
            </w:r>
          </w:p>
        </w:tc>
        <w:tc>
          <w:tcPr>
            <w:tcW w:w="4111"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烟草专卖准运证管理办法》第三十一条：“申请人通过隐瞒或者欺骗等手段非法取得烟草专卖品准运证，应当由原发证机关收回或者撤销其烟草专卖品准运证，并依法追究有关单位和个人的行政责任。情节严重涉嫌犯罪的，依法移交司法部门处理。”</w:t>
            </w:r>
          </w:p>
          <w:p>
            <w:pPr>
              <w:spacing w:line="240" w:lineRule="exact"/>
              <w:rPr>
                <w:rFonts w:ascii="仿宋_GB2312" w:hAnsi="仿宋" w:eastAsia="仿宋_GB2312" w:cs="Times New Roman"/>
                <w:color w:val="000000"/>
              </w:rPr>
            </w:pPr>
          </w:p>
        </w:tc>
        <w:tc>
          <w:tcPr>
            <w:tcW w:w="598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372"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111" w:type="dxa"/>
            <w:vMerge w:val="continue"/>
            <w:vAlign w:val="center"/>
          </w:tcPr>
          <w:p>
            <w:pPr>
              <w:widowControl/>
              <w:jc w:val="left"/>
              <w:rPr>
                <w:rFonts w:ascii="仿宋_GB2312" w:hAnsi="仿宋" w:eastAsia="仿宋_GB2312" w:cs="Times New Roman"/>
                <w:color w:val="000000"/>
              </w:rPr>
            </w:pPr>
          </w:p>
        </w:tc>
        <w:tc>
          <w:tcPr>
            <w:tcW w:w="598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111" w:type="dxa"/>
            <w:vMerge w:val="continue"/>
            <w:vAlign w:val="center"/>
          </w:tcPr>
          <w:p>
            <w:pPr>
              <w:widowControl/>
              <w:jc w:val="left"/>
              <w:rPr>
                <w:rFonts w:ascii="仿宋_GB2312" w:hAnsi="仿宋" w:eastAsia="仿宋_GB2312" w:cs="Times New Roman"/>
                <w:color w:val="000000"/>
              </w:rPr>
            </w:pPr>
          </w:p>
        </w:tc>
        <w:tc>
          <w:tcPr>
            <w:tcW w:w="598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111" w:type="dxa"/>
            <w:vMerge w:val="continue"/>
            <w:vAlign w:val="center"/>
          </w:tcPr>
          <w:p>
            <w:pPr>
              <w:widowControl/>
              <w:jc w:val="left"/>
              <w:rPr>
                <w:rFonts w:ascii="仿宋_GB2312" w:hAnsi="仿宋" w:eastAsia="仿宋_GB2312" w:cs="Times New Roman"/>
                <w:color w:val="000000"/>
              </w:rPr>
            </w:pPr>
          </w:p>
        </w:tc>
        <w:tc>
          <w:tcPr>
            <w:tcW w:w="598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111" w:type="dxa"/>
            <w:vMerge w:val="continue"/>
            <w:vAlign w:val="center"/>
          </w:tcPr>
          <w:p>
            <w:pPr>
              <w:widowControl/>
              <w:jc w:val="left"/>
              <w:rPr>
                <w:rFonts w:ascii="仿宋_GB2312" w:hAnsi="仿宋" w:eastAsia="仿宋_GB2312" w:cs="Times New Roman"/>
                <w:color w:val="000000"/>
              </w:rPr>
            </w:pPr>
          </w:p>
        </w:tc>
        <w:tc>
          <w:tcPr>
            <w:tcW w:w="598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111" w:type="dxa"/>
            <w:vMerge w:val="continue"/>
            <w:vAlign w:val="center"/>
          </w:tcPr>
          <w:p>
            <w:pPr>
              <w:widowControl/>
              <w:jc w:val="left"/>
              <w:rPr>
                <w:rFonts w:ascii="仿宋_GB2312" w:hAnsi="仿宋" w:eastAsia="仿宋_GB2312" w:cs="Times New Roman"/>
                <w:color w:val="000000"/>
              </w:rPr>
            </w:pPr>
          </w:p>
        </w:tc>
        <w:tc>
          <w:tcPr>
            <w:tcW w:w="598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111" w:type="dxa"/>
            <w:vMerge w:val="continue"/>
            <w:vAlign w:val="center"/>
          </w:tcPr>
          <w:p>
            <w:pPr>
              <w:widowControl/>
              <w:jc w:val="left"/>
              <w:rPr>
                <w:rFonts w:ascii="仿宋_GB2312" w:hAnsi="仿宋" w:eastAsia="仿宋_GB2312" w:cs="Times New Roman"/>
                <w:color w:val="000000"/>
              </w:rPr>
            </w:pPr>
          </w:p>
        </w:tc>
        <w:tc>
          <w:tcPr>
            <w:tcW w:w="598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111" w:type="dxa"/>
            <w:vMerge w:val="continue"/>
            <w:vAlign w:val="center"/>
          </w:tcPr>
          <w:p>
            <w:pPr>
              <w:widowControl/>
              <w:jc w:val="left"/>
              <w:rPr>
                <w:rFonts w:ascii="仿宋_GB2312" w:hAnsi="仿宋" w:eastAsia="仿宋_GB2312" w:cs="Times New Roman"/>
                <w:color w:val="000000"/>
              </w:rPr>
            </w:pPr>
          </w:p>
        </w:tc>
        <w:tc>
          <w:tcPr>
            <w:tcW w:w="598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55"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jc w:val="left"/>
        <w:rPr>
          <w:rFonts w:ascii="仿宋" w:hAnsi="仿宋" w:eastAsia="仿宋" w:cs="Times New Roman"/>
          <w:b/>
          <w:bCs/>
          <w:color w:val="000000"/>
          <w:sz w:val="32"/>
        </w:rPr>
      </w:pPr>
    </w:p>
    <w:p>
      <w:pPr>
        <w:spacing w:line="320" w:lineRule="exact"/>
        <w:jc w:val="left"/>
        <w:rPr>
          <w:rFonts w:ascii="仿宋" w:hAnsi="仿宋" w:eastAsia="仿宋" w:cs="Times New Roman"/>
          <w:b/>
          <w:bCs/>
          <w:color w:val="000000"/>
          <w:sz w:val="32"/>
        </w:rPr>
      </w:pPr>
    </w:p>
    <w:tbl>
      <w:tblPr>
        <w:tblStyle w:val="7"/>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11"/>
        <w:gridCol w:w="4536"/>
        <w:gridCol w:w="5416"/>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81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4536"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416"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372"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811"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使用涂改、伪造、变造的烟草专卖许可证</w:t>
            </w:r>
          </w:p>
        </w:tc>
        <w:tc>
          <w:tcPr>
            <w:tcW w:w="4536"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《烟草专卖许可证管理办法》第四十一条：“ 任何企业或者个人不得涂改、伪造、变造烟草专卖许可证。不得买卖、出租、出借或者以其他形式非法转让烟草专卖许可证。”</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第五十六条：“ 使用涂改、伪造、变造的烟草专卖许可证的，由烟草专卖局处以1000元以下的罚款。”</w:t>
            </w:r>
          </w:p>
          <w:p>
            <w:pPr>
              <w:spacing w:line="240" w:lineRule="exact"/>
              <w:rPr>
                <w:rFonts w:ascii="仿宋_GB2312" w:hAnsi="仿宋" w:eastAsia="仿宋_GB2312" w:cs="Times New Roman"/>
                <w:color w:val="000000"/>
              </w:rPr>
            </w:pPr>
          </w:p>
        </w:tc>
        <w:tc>
          <w:tcPr>
            <w:tcW w:w="541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372"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1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1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1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1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1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1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536" w:type="dxa"/>
            <w:vMerge w:val="continue"/>
            <w:vAlign w:val="center"/>
          </w:tcPr>
          <w:p>
            <w:pPr>
              <w:widowControl/>
              <w:jc w:val="left"/>
              <w:rPr>
                <w:rFonts w:ascii="仿宋_GB2312" w:hAnsi="仿宋" w:eastAsia="仿宋_GB2312" w:cs="Times New Roman"/>
                <w:color w:val="000000"/>
              </w:rPr>
            </w:pPr>
          </w:p>
        </w:tc>
        <w:tc>
          <w:tcPr>
            <w:tcW w:w="5416"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55"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jc w:val="left"/>
        <w:rPr>
          <w:rFonts w:ascii="仿宋" w:hAnsi="仿宋" w:eastAsia="仿宋" w:cs="Times New Roman"/>
          <w:b/>
          <w:bCs/>
          <w:color w:val="000000"/>
          <w:sz w:val="32"/>
        </w:rPr>
      </w:pPr>
    </w:p>
    <w:tbl>
      <w:tblPr>
        <w:tblStyle w:val="7"/>
        <w:tblW w:w="14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827"/>
        <w:gridCol w:w="4661"/>
        <w:gridCol w:w="5273"/>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827"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4662"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274"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23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827"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不及时办理烟草专卖许可证变更、注销手续处罚</w:t>
            </w:r>
          </w:p>
        </w:tc>
        <w:tc>
          <w:tcPr>
            <w:tcW w:w="4662" w:type="dxa"/>
            <w:vMerge w:val="restart"/>
            <w:vAlign w:val="center"/>
          </w:tcPr>
          <w:p>
            <w:pPr>
              <w:spacing w:line="240" w:lineRule="exact"/>
              <w:rPr>
                <w:rFonts w:ascii="仿宋_GB2312" w:hAnsi="仿宋" w:eastAsia="仿宋_GB2312" w:cs="仿宋_GB2312"/>
                <w:color w:val="000000"/>
              </w:rPr>
            </w:pPr>
            <w:r>
              <w:rPr>
                <w:rFonts w:hint="eastAsia" w:ascii="仿宋_GB2312" w:hAnsi="仿宋" w:eastAsia="仿宋_GB2312" w:cs="仿宋_GB2312"/>
                <w:color w:val="000000"/>
              </w:rPr>
              <w:t>《烟草专卖许可证管理办法》第三十一条：“第三十一条烟草专卖许可证的持证人改变经营地址(因道路规划、城市建设等客观原因除外)或者具有国家烟草专卖局规定的其他情形的，应当重新申领烟草专卖许可证;所持有的烟草专卖许可证其他登记事项发生改变的，应当及时变更烟草专卖许可证。”</w:t>
            </w:r>
          </w:p>
          <w:p>
            <w:pPr>
              <w:spacing w:line="240" w:lineRule="exact"/>
              <w:rPr>
                <w:rFonts w:ascii="仿宋_GB2312" w:hAnsi="仿宋" w:eastAsia="仿宋_GB2312" w:cs="仿宋_GB2312"/>
                <w:color w:val="000000"/>
              </w:rPr>
            </w:pPr>
            <w:r>
              <w:rPr>
                <w:rFonts w:hint="eastAsia" w:ascii="仿宋_GB2312" w:hAnsi="仿宋" w:eastAsia="仿宋_GB2312" w:cs="仿宋_GB2312"/>
                <w:color w:val="000000"/>
              </w:rPr>
              <w:t>第四十八条有下列情形之一的，发证机关应当依法注销烟草专卖许可证:</w:t>
            </w:r>
          </w:p>
          <w:p>
            <w:pPr>
              <w:spacing w:line="240" w:lineRule="exact"/>
              <w:rPr>
                <w:rFonts w:ascii="仿宋_GB2312" w:hAnsi="仿宋" w:eastAsia="仿宋_GB2312" w:cs="仿宋_GB2312"/>
                <w:color w:val="000000"/>
              </w:rPr>
            </w:pPr>
            <w:r>
              <w:rPr>
                <w:rFonts w:hint="eastAsia" w:ascii="仿宋_GB2312" w:hAnsi="仿宋" w:eastAsia="仿宋_GB2312" w:cs="仿宋_GB2312"/>
                <w:color w:val="000000"/>
              </w:rPr>
              <w:t>(一)烟草专卖许可证有效期限届满未延续的;</w:t>
            </w:r>
          </w:p>
          <w:p>
            <w:pPr>
              <w:spacing w:line="240" w:lineRule="exact"/>
              <w:rPr>
                <w:rFonts w:ascii="仿宋_GB2312" w:hAnsi="仿宋" w:eastAsia="仿宋_GB2312" w:cs="仿宋_GB2312"/>
                <w:color w:val="000000"/>
              </w:rPr>
            </w:pPr>
            <w:r>
              <w:rPr>
                <w:rFonts w:hint="eastAsia" w:ascii="仿宋_GB2312" w:hAnsi="仿宋" w:eastAsia="仿宋_GB2312" w:cs="仿宋_GB2312"/>
                <w:color w:val="000000"/>
              </w:rPr>
              <w:t>(二)烟草专卖许可证核定的经营主体为自然人，自然人死亡或者丧失民事行为能力的;</w:t>
            </w:r>
          </w:p>
          <w:p>
            <w:pPr>
              <w:spacing w:line="240" w:lineRule="exact"/>
              <w:rPr>
                <w:rFonts w:ascii="仿宋_GB2312" w:hAnsi="仿宋" w:eastAsia="仿宋_GB2312" w:cs="仿宋_GB2312"/>
                <w:color w:val="000000"/>
              </w:rPr>
            </w:pPr>
            <w:r>
              <w:rPr>
                <w:rFonts w:hint="eastAsia" w:ascii="仿宋_GB2312" w:hAnsi="仿宋" w:eastAsia="仿宋_GB2312" w:cs="仿宋_GB2312"/>
                <w:color w:val="000000"/>
              </w:rPr>
              <w:t>(三)烟草专卖许可证核定的经营主体为法人或者其他组织依法终止的;</w:t>
            </w:r>
          </w:p>
          <w:p>
            <w:pPr>
              <w:spacing w:line="240" w:lineRule="exact"/>
              <w:rPr>
                <w:rFonts w:ascii="仿宋_GB2312" w:hAnsi="仿宋" w:eastAsia="仿宋_GB2312" w:cs="仿宋_GB2312"/>
                <w:color w:val="000000"/>
              </w:rPr>
            </w:pPr>
            <w:r>
              <w:rPr>
                <w:rFonts w:hint="eastAsia" w:ascii="仿宋_GB2312" w:hAnsi="仿宋" w:eastAsia="仿宋_GB2312" w:cs="仿宋_GB2312"/>
                <w:color w:val="000000"/>
              </w:rPr>
              <w:t>(四)因不可抗力导致经营主体无法继续从事烟草专卖品生产经营业务的;</w:t>
            </w:r>
          </w:p>
          <w:p>
            <w:pPr>
              <w:spacing w:line="240" w:lineRule="exact"/>
              <w:rPr>
                <w:rFonts w:ascii="仿宋_GB2312" w:hAnsi="仿宋" w:eastAsia="仿宋_GB2312" w:cs="仿宋_GB2312"/>
                <w:color w:val="000000"/>
              </w:rPr>
            </w:pPr>
            <w:r>
              <w:rPr>
                <w:rFonts w:hint="eastAsia" w:ascii="仿宋_GB2312" w:hAnsi="仿宋" w:eastAsia="仿宋_GB2312" w:cs="仿宋_GB2312"/>
                <w:color w:val="000000"/>
              </w:rPr>
              <w:t>(五)法律、法规规定的应当注销烟草专卖许可证的其他情形。</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第五十七条：“违反本办法规定，不及时办理烟草专卖许可证变更、注销手续的，由烟草专卖局责令改正，拒不改正的，处以1000元以下的罚款。”</w:t>
            </w:r>
          </w:p>
          <w:p>
            <w:pPr>
              <w:spacing w:line="240" w:lineRule="exact"/>
              <w:rPr>
                <w:rFonts w:ascii="仿宋_GB2312" w:hAnsi="仿宋" w:eastAsia="仿宋_GB2312" w:cs="Times New Roman"/>
                <w:color w:val="000000"/>
              </w:rPr>
            </w:pPr>
          </w:p>
        </w:tc>
        <w:tc>
          <w:tcPr>
            <w:tcW w:w="527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231"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662" w:type="dxa"/>
            <w:vMerge w:val="continue"/>
            <w:vAlign w:val="center"/>
          </w:tcPr>
          <w:p>
            <w:pPr>
              <w:widowControl/>
              <w:jc w:val="left"/>
              <w:rPr>
                <w:rFonts w:ascii="仿宋_GB2312" w:hAnsi="仿宋" w:eastAsia="仿宋_GB2312" w:cs="Times New Roman"/>
                <w:color w:val="000000"/>
              </w:rPr>
            </w:pPr>
          </w:p>
        </w:tc>
        <w:tc>
          <w:tcPr>
            <w:tcW w:w="527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662" w:type="dxa"/>
            <w:vMerge w:val="continue"/>
            <w:vAlign w:val="center"/>
          </w:tcPr>
          <w:p>
            <w:pPr>
              <w:widowControl/>
              <w:jc w:val="left"/>
              <w:rPr>
                <w:rFonts w:ascii="仿宋_GB2312" w:hAnsi="仿宋" w:eastAsia="仿宋_GB2312" w:cs="Times New Roman"/>
                <w:color w:val="000000"/>
              </w:rPr>
            </w:pPr>
          </w:p>
        </w:tc>
        <w:tc>
          <w:tcPr>
            <w:tcW w:w="527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662" w:type="dxa"/>
            <w:vMerge w:val="continue"/>
            <w:vAlign w:val="center"/>
          </w:tcPr>
          <w:p>
            <w:pPr>
              <w:widowControl/>
              <w:jc w:val="left"/>
              <w:rPr>
                <w:rFonts w:ascii="仿宋_GB2312" w:hAnsi="仿宋" w:eastAsia="仿宋_GB2312" w:cs="Times New Roman"/>
                <w:color w:val="000000"/>
              </w:rPr>
            </w:pPr>
          </w:p>
        </w:tc>
        <w:tc>
          <w:tcPr>
            <w:tcW w:w="527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662" w:type="dxa"/>
            <w:vMerge w:val="continue"/>
            <w:vAlign w:val="center"/>
          </w:tcPr>
          <w:p>
            <w:pPr>
              <w:widowControl/>
              <w:jc w:val="left"/>
              <w:rPr>
                <w:rFonts w:ascii="仿宋_GB2312" w:hAnsi="仿宋" w:eastAsia="仿宋_GB2312" w:cs="Times New Roman"/>
                <w:color w:val="000000"/>
              </w:rPr>
            </w:pPr>
          </w:p>
        </w:tc>
        <w:tc>
          <w:tcPr>
            <w:tcW w:w="527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662" w:type="dxa"/>
            <w:vMerge w:val="continue"/>
            <w:vAlign w:val="center"/>
          </w:tcPr>
          <w:p>
            <w:pPr>
              <w:widowControl/>
              <w:jc w:val="left"/>
              <w:rPr>
                <w:rFonts w:ascii="仿宋_GB2312" w:hAnsi="仿宋" w:eastAsia="仿宋_GB2312" w:cs="Times New Roman"/>
                <w:color w:val="000000"/>
              </w:rPr>
            </w:pPr>
          </w:p>
        </w:tc>
        <w:tc>
          <w:tcPr>
            <w:tcW w:w="527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662" w:type="dxa"/>
            <w:vMerge w:val="continue"/>
            <w:vAlign w:val="center"/>
          </w:tcPr>
          <w:p>
            <w:pPr>
              <w:widowControl/>
              <w:jc w:val="left"/>
              <w:rPr>
                <w:rFonts w:ascii="仿宋_GB2312" w:hAnsi="仿宋" w:eastAsia="仿宋_GB2312" w:cs="Times New Roman"/>
                <w:color w:val="000000"/>
              </w:rPr>
            </w:pPr>
          </w:p>
        </w:tc>
        <w:tc>
          <w:tcPr>
            <w:tcW w:w="527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827" w:type="dxa"/>
            <w:vMerge w:val="continue"/>
            <w:vAlign w:val="center"/>
          </w:tcPr>
          <w:p>
            <w:pPr>
              <w:widowControl/>
              <w:jc w:val="left"/>
              <w:rPr>
                <w:rFonts w:ascii="仿宋_GB2312" w:hAnsi="仿宋" w:eastAsia="仿宋_GB2312" w:cs="Times New Roman"/>
                <w:color w:val="000000"/>
              </w:rPr>
            </w:pPr>
          </w:p>
        </w:tc>
        <w:tc>
          <w:tcPr>
            <w:tcW w:w="4662" w:type="dxa"/>
            <w:vMerge w:val="continue"/>
            <w:vAlign w:val="center"/>
          </w:tcPr>
          <w:p>
            <w:pPr>
              <w:widowControl/>
              <w:jc w:val="left"/>
              <w:rPr>
                <w:rFonts w:ascii="仿宋_GB2312" w:hAnsi="仿宋" w:eastAsia="仿宋_GB2312" w:cs="Times New Roman"/>
                <w:color w:val="000000"/>
              </w:rPr>
            </w:pPr>
          </w:p>
        </w:tc>
        <w:tc>
          <w:tcPr>
            <w:tcW w:w="527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4714"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jc w:val="left"/>
        <w:rPr>
          <w:rFonts w:ascii="仿宋" w:hAnsi="仿宋" w:eastAsia="仿宋" w:cs="Times New Roman"/>
          <w:b/>
          <w:bCs/>
          <w:color w:val="000000"/>
          <w:sz w:val="32"/>
        </w:rPr>
      </w:pPr>
    </w:p>
    <w:tbl>
      <w:tblPr>
        <w:tblStyle w:val="7"/>
        <w:tblW w:w="15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11"/>
        <w:gridCol w:w="4680"/>
        <w:gridCol w:w="5274"/>
        <w:gridCol w:w="3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81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4679"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273"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765"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811"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非法接收、转让淘汰报废的烟草专用机械及残次的卷烟纸、滤嘴棒、烟用丝束</w:t>
            </w:r>
          </w:p>
        </w:tc>
        <w:tc>
          <w:tcPr>
            <w:tcW w:w="4679"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《河南省烟草专卖管理条例》第十四条第三款：“淘汰报废的烟草专用机械及残次的卷烟纸、滤嘴棒、烟用丝束应当由当地烟草专卖行政主管部门监督销毁，任何单位和个人不得转让、接收。”</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第三十四条：“违反本条例第十四条的，由烟草专卖行政主管部门按照下列规定处罚：……(三)违反第三款规定的，没收违法所得和违法经营的烟草专卖品。”</w:t>
            </w:r>
          </w:p>
          <w:p>
            <w:pPr>
              <w:spacing w:line="240" w:lineRule="exac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765"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67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67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67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67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67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67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4679" w:type="dxa"/>
            <w:vMerge w:val="continue"/>
            <w:vAlign w:val="center"/>
          </w:tcPr>
          <w:p>
            <w:pPr>
              <w:widowControl/>
              <w:jc w:val="left"/>
              <w:rPr>
                <w:rFonts w:ascii="仿宋_GB2312" w:hAnsi="仿宋" w:eastAsia="仿宋_GB2312" w:cs="Times New Roman"/>
                <w:color w:val="000000"/>
              </w:rPr>
            </w:pPr>
          </w:p>
        </w:tc>
        <w:tc>
          <w:tcPr>
            <w:tcW w:w="5273"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5248"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rPr>
          <w:rFonts w:ascii="仿宋" w:hAnsi="仿宋" w:eastAsia="仿宋" w:cs="Times New Roman"/>
          <w:b/>
          <w:bCs/>
          <w:color w:val="000000"/>
          <w:sz w:val="32"/>
        </w:rPr>
      </w:pPr>
    </w:p>
    <w:tbl>
      <w:tblPr>
        <w:tblStyle w:val="7"/>
        <w:tblW w:w="15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11"/>
        <w:gridCol w:w="5389"/>
        <w:gridCol w:w="4565"/>
        <w:gridCol w:w="3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81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5388"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4564"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765"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811"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窝藏、运输、销售走私烟草制品</w:t>
            </w:r>
          </w:p>
          <w:p>
            <w:pPr>
              <w:spacing w:line="240" w:lineRule="exact"/>
              <w:rPr>
                <w:rFonts w:ascii="仿宋_GB2312" w:hAnsi="仿宋" w:eastAsia="仿宋_GB2312" w:cs="Times New Roman"/>
                <w:color w:val="000000"/>
              </w:rPr>
            </w:pPr>
          </w:p>
        </w:tc>
        <w:tc>
          <w:tcPr>
            <w:tcW w:w="5388"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《河南省烟草专卖管理条例》第十八条第三款：“禁止窝藏、运输、销售走私的烟草制品。禁止生产、销售假冒、无注册商标的烟草制品及非法印制、销售烟草制品商标标识。”</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三十六条：“违反本条例第十八条的，按照下列规定处罚：……（五）窝藏、运输、销售走私卷烟的，由烟草专卖行政主管部门没收违法所得和违法卷烟，并处以违法经营总额二倍以上四倍以下的罚款；自运或承运人明知而承运的，没收其违法运输工具。”</w:t>
            </w:r>
          </w:p>
          <w:p>
            <w:pPr>
              <w:spacing w:line="240" w:lineRule="exact"/>
              <w:rPr>
                <w:rFonts w:ascii="仿宋_GB2312" w:hAnsi="仿宋" w:eastAsia="仿宋_GB2312" w:cs="Times New Roman"/>
                <w:color w:val="000000"/>
              </w:rPr>
            </w:pPr>
          </w:p>
        </w:tc>
        <w:tc>
          <w:tcPr>
            <w:tcW w:w="456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765"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8" w:type="dxa"/>
            <w:vMerge w:val="continue"/>
            <w:vAlign w:val="center"/>
          </w:tcPr>
          <w:p>
            <w:pPr>
              <w:widowControl/>
              <w:jc w:val="left"/>
              <w:rPr>
                <w:rFonts w:ascii="仿宋_GB2312" w:hAnsi="仿宋" w:eastAsia="仿宋_GB2312" w:cs="Times New Roman"/>
                <w:color w:val="000000"/>
              </w:rPr>
            </w:pPr>
          </w:p>
        </w:tc>
        <w:tc>
          <w:tcPr>
            <w:tcW w:w="456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8" w:type="dxa"/>
            <w:vMerge w:val="continue"/>
            <w:vAlign w:val="center"/>
          </w:tcPr>
          <w:p>
            <w:pPr>
              <w:widowControl/>
              <w:jc w:val="left"/>
              <w:rPr>
                <w:rFonts w:ascii="仿宋_GB2312" w:hAnsi="仿宋" w:eastAsia="仿宋_GB2312" w:cs="Times New Roman"/>
                <w:color w:val="000000"/>
              </w:rPr>
            </w:pPr>
          </w:p>
        </w:tc>
        <w:tc>
          <w:tcPr>
            <w:tcW w:w="456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8" w:type="dxa"/>
            <w:vMerge w:val="continue"/>
            <w:vAlign w:val="center"/>
          </w:tcPr>
          <w:p>
            <w:pPr>
              <w:widowControl/>
              <w:jc w:val="left"/>
              <w:rPr>
                <w:rFonts w:ascii="仿宋_GB2312" w:hAnsi="仿宋" w:eastAsia="仿宋_GB2312" w:cs="Times New Roman"/>
                <w:color w:val="000000"/>
              </w:rPr>
            </w:pPr>
          </w:p>
        </w:tc>
        <w:tc>
          <w:tcPr>
            <w:tcW w:w="456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8" w:type="dxa"/>
            <w:vMerge w:val="continue"/>
            <w:vAlign w:val="center"/>
          </w:tcPr>
          <w:p>
            <w:pPr>
              <w:widowControl/>
              <w:jc w:val="left"/>
              <w:rPr>
                <w:rFonts w:ascii="仿宋_GB2312" w:hAnsi="仿宋" w:eastAsia="仿宋_GB2312" w:cs="Times New Roman"/>
                <w:color w:val="000000"/>
              </w:rPr>
            </w:pPr>
          </w:p>
        </w:tc>
        <w:tc>
          <w:tcPr>
            <w:tcW w:w="456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8" w:type="dxa"/>
            <w:vMerge w:val="continue"/>
            <w:vAlign w:val="center"/>
          </w:tcPr>
          <w:p>
            <w:pPr>
              <w:widowControl/>
              <w:jc w:val="left"/>
              <w:rPr>
                <w:rFonts w:ascii="仿宋_GB2312" w:hAnsi="仿宋" w:eastAsia="仿宋_GB2312" w:cs="Times New Roman"/>
                <w:color w:val="000000"/>
              </w:rPr>
            </w:pPr>
          </w:p>
        </w:tc>
        <w:tc>
          <w:tcPr>
            <w:tcW w:w="456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8" w:type="dxa"/>
            <w:vMerge w:val="continue"/>
            <w:vAlign w:val="center"/>
          </w:tcPr>
          <w:p>
            <w:pPr>
              <w:widowControl/>
              <w:jc w:val="left"/>
              <w:rPr>
                <w:rFonts w:ascii="仿宋_GB2312" w:hAnsi="仿宋" w:eastAsia="仿宋_GB2312" w:cs="Times New Roman"/>
                <w:color w:val="000000"/>
              </w:rPr>
            </w:pPr>
          </w:p>
        </w:tc>
        <w:tc>
          <w:tcPr>
            <w:tcW w:w="456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248" w:type="dxa"/>
            <w:vMerge w:val="continue"/>
            <w:vAlign w:val="center"/>
          </w:tcPr>
          <w:p>
            <w:pPr>
              <w:widowControl/>
              <w:jc w:val="left"/>
              <w:rPr>
                <w:rFonts w:ascii="仿宋_GB2312" w:hAnsi="仿宋" w:eastAsia="仿宋_GB2312" w:cs="Times New Roman"/>
                <w:color w:val="000000"/>
              </w:rPr>
            </w:pPr>
          </w:p>
        </w:tc>
        <w:tc>
          <w:tcPr>
            <w:tcW w:w="811" w:type="dxa"/>
            <w:vMerge w:val="continue"/>
            <w:vAlign w:val="center"/>
          </w:tcPr>
          <w:p>
            <w:pPr>
              <w:widowControl/>
              <w:jc w:val="left"/>
              <w:rPr>
                <w:rFonts w:ascii="仿宋_GB2312" w:hAnsi="仿宋" w:eastAsia="仿宋_GB2312" w:cs="Times New Roman"/>
                <w:color w:val="000000"/>
              </w:rPr>
            </w:pPr>
          </w:p>
        </w:tc>
        <w:tc>
          <w:tcPr>
            <w:tcW w:w="5388" w:type="dxa"/>
            <w:vMerge w:val="continue"/>
            <w:vAlign w:val="center"/>
          </w:tcPr>
          <w:p>
            <w:pPr>
              <w:widowControl/>
              <w:jc w:val="left"/>
              <w:rPr>
                <w:rFonts w:ascii="仿宋_GB2312" w:hAnsi="仿宋" w:eastAsia="仿宋_GB2312" w:cs="Times New Roman"/>
                <w:color w:val="000000"/>
              </w:rPr>
            </w:pPr>
          </w:p>
        </w:tc>
        <w:tc>
          <w:tcPr>
            <w:tcW w:w="4564"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765"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248"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rPr>
          <w:rFonts w:ascii="仿宋" w:hAnsi="仿宋" w:eastAsia="仿宋" w:cs="Times New Roman"/>
          <w:b/>
          <w:bCs/>
          <w:color w:val="000000"/>
          <w:sz w:val="32"/>
        </w:rPr>
      </w:pPr>
    </w:p>
    <w:tbl>
      <w:tblPr>
        <w:tblStyle w:val="7"/>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671"/>
        <w:gridCol w:w="4961"/>
        <w:gridCol w:w="513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67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496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13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372"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671"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销售无规定防伪标志卷烟</w:t>
            </w:r>
          </w:p>
        </w:tc>
        <w:tc>
          <w:tcPr>
            <w:tcW w:w="4961"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《河南省烟草专卖管理条例》第十九条：“全省实行卷烟防伪标志销售管理制度。任何单位和个人不得销售无规定防伪标志的卷烟。卷烟防伪标志的具体管理办法由省烟草专卖行政主管部门制定。”</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第三十七条：“违反本条例第十九条规定，销售无规定防伪标志卷烟的，由烟草专卖行政主管部门没收违法经营的卷烟和违法所得；情节严重的，并处以违法经营总额百分之二十以下的罚款。”</w:t>
            </w:r>
          </w:p>
          <w:p>
            <w:pPr>
              <w:spacing w:line="240" w:lineRule="exac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372"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961"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961"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961"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961"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961"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961"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671" w:type="dxa"/>
            <w:vMerge w:val="continue"/>
            <w:vAlign w:val="center"/>
          </w:tcPr>
          <w:p>
            <w:pPr>
              <w:widowControl/>
              <w:jc w:val="left"/>
              <w:rPr>
                <w:rFonts w:ascii="仿宋_GB2312" w:hAnsi="仿宋" w:eastAsia="仿宋_GB2312" w:cs="Times New Roman"/>
                <w:color w:val="000000"/>
              </w:rPr>
            </w:pPr>
          </w:p>
        </w:tc>
        <w:tc>
          <w:tcPr>
            <w:tcW w:w="4961"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55"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rPr>
          <w:rFonts w:ascii="仿宋" w:hAnsi="仿宋" w:eastAsia="仿宋" w:cs="Times New Roman"/>
          <w:b/>
          <w:bCs/>
          <w:color w:val="000000"/>
          <w:sz w:val="32"/>
        </w:rPr>
      </w:pPr>
    </w:p>
    <w:tbl>
      <w:tblPr>
        <w:tblStyle w:val="7"/>
        <w:tblW w:w="148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813"/>
        <w:gridCol w:w="4819"/>
        <w:gridCol w:w="5131"/>
        <w:gridCol w:w="3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0"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813"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4819"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131"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372" w:type="dxa"/>
            <w:vAlign w:val="center"/>
          </w:tcPr>
          <w:p>
            <w:pPr>
              <w:spacing w:line="24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720"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处</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罚</w:t>
            </w:r>
          </w:p>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813" w:type="dxa"/>
            <w:vMerge w:val="restart"/>
            <w:vAlign w:val="center"/>
          </w:tcPr>
          <w:p>
            <w:pPr>
              <w:spacing w:line="240" w:lineRule="exact"/>
              <w:jc w:val="center"/>
              <w:rPr>
                <w:rFonts w:ascii="仿宋_GB2312" w:hAnsi="仿宋" w:eastAsia="仿宋_GB2312" w:cs="Times New Roman"/>
                <w:color w:val="000000"/>
              </w:rPr>
            </w:pPr>
            <w:r>
              <w:rPr>
                <w:rFonts w:hint="eastAsia" w:ascii="仿宋_GB2312" w:hAnsi="仿宋" w:eastAsia="仿宋_GB2312" w:cs="仿宋_GB2312"/>
                <w:color w:val="000000"/>
              </w:rPr>
              <w:t>持有烟草专卖许可证的企业和个人， 违反本条例规定， 情节严重经教育不改</w:t>
            </w:r>
          </w:p>
        </w:tc>
        <w:tc>
          <w:tcPr>
            <w:tcW w:w="4819" w:type="dxa"/>
            <w:vMerge w:val="restart"/>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《河南省烟草专卖管理条例》第三十八条：“持有烟草专卖许可证的企业和个人，违反本条例规定，情节严重经教育不改的，原发证的烟草专卖行政主管部门可以吊销其烟草专卖许可证。”</w:t>
            </w:r>
          </w:p>
          <w:p>
            <w:pPr>
              <w:spacing w:line="240" w:lineRule="exac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1.立案责任：烟草专卖行政主管部门的专卖管理人员对检查中发现、群众举报投诉或经有关部门移送的此类违法案件予以审查；经机关负责人批准，决定是否立案。</w:t>
            </w:r>
          </w:p>
        </w:tc>
        <w:tc>
          <w:tcPr>
            <w:tcW w:w="3372" w:type="dxa"/>
            <w:vMerge w:val="restart"/>
            <w:vAlign w:val="center"/>
          </w:tcPr>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24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2.调查责任：烟草专卖行政主管部门指定专人调查取证；执法人员不得少于两人；调查取证时应出示执法证件；依法需要听证的，告知当事人听证权；允许当事人陈述申辩；形成调查终结报告。</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3.审查责任：烟草专卖行政主管部门的法治部门或法治员对案件违法事实、证据、调查取证、法律适用、处罚种类和幅度、当事人陈述理由等进行法治审核，提出处理意见。</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4.告知责任：在作出行政处罚决定前，书面告知当事人拟做出处罚决定的事实、理由、依据、处罚内容，以及当事人享有的陈述权、申辩权、听证权等。</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5.决定责任：依法需要给予行政处罚的，经机关负责人批准，制作《行政处罚决定书》，载明违法事实和证据、处罚依据和内容、权利救济途径和期限等内容。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6.送达责任：七日内，烟草专卖行政主管部门的专卖管理人员依法将行政处罚决定书送达当事人。</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7.执行责任：监督当事人在法定期限内履行生效的行政处罚决定。当事人在法定期限内没有申请行政复议或提起行政诉讼，又不履行的，可申请人民法院强制执行。</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4855" w:type="dxa"/>
            <w:vMerge w:val="continue"/>
            <w:vAlign w:val="center"/>
          </w:tcPr>
          <w:p>
            <w:pPr>
              <w:widowControl/>
              <w:jc w:val="left"/>
              <w:rPr>
                <w:rFonts w:ascii="仿宋_GB2312" w:hAnsi="仿宋" w:eastAsia="仿宋_GB2312" w:cs="Times New Roman"/>
                <w:color w:val="000000"/>
              </w:rPr>
            </w:pPr>
          </w:p>
        </w:tc>
        <w:tc>
          <w:tcPr>
            <w:tcW w:w="813" w:type="dxa"/>
            <w:vMerge w:val="continue"/>
            <w:vAlign w:val="center"/>
          </w:tcPr>
          <w:p>
            <w:pPr>
              <w:widowControl/>
              <w:jc w:val="left"/>
              <w:rPr>
                <w:rFonts w:ascii="仿宋_GB2312" w:hAnsi="仿宋" w:eastAsia="仿宋_GB2312" w:cs="Times New Roman"/>
                <w:color w:val="000000"/>
              </w:rPr>
            </w:pPr>
          </w:p>
        </w:tc>
        <w:tc>
          <w:tcPr>
            <w:tcW w:w="4819" w:type="dxa"/>
            <w:vMerge w:val="continue"/>
            <w:vAlign w:val="center"/>
          </w:tcPr>
          <w:p>
            <w:pPr>
              <w:widowControl/>
              <w:jc w:val="left"/>
              <w:rPr>
                <w:rFonts w:ascii="仿宋_GB2312" w:hAnsi="仿宋" w:eastAsia="仿宋_GB2312" w:cs="Times New Roman"/>
                <w:color w:val="000000"/>
              </w:rPr>
            </w:pPr>
          </w:p>
        </w:tc>
        <w:tc>
          <w:tcPr>
            <w:tcW w:w="5131" w:type="dxa"/>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8.法律、法规、规章规定的其他应履行的责任事项。</w:t>
            </w:r>
          </w:p>
        </w:tc>
        <w:tc>
          <w:tcPr>
            <w:tcW w:w="3372"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855" w:type="dxa"/>
            <w:gridSpan w:val="5"/>
            <w:vAlign w:val="center"/>
          </w:tcPr>
          <w:p>
            <w:pPr>
              <w:spacing w:line="24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jc w:val="center"/>
        <w:rPr>
          <w:rFonts w:ascii="仿宋" w:hAnsi="仿宋" w:eastAsia="仿宋" w:cs="Times New Roman"/>
          <w:b/>
          <w:bCs/>
          <w:color w:val="000000"/>
          <w:sz w:val="32"/>
          <w:szCs w:val="32"/>
        </w:rPr>
      </w:pPr>
      <w:r>
        <w:rPr>
          <w:rFonts w:hint="eastAsia" w:ascii="仿宋" w:hAnsi="仿宋" w:eastAsia="仿宋" w:cs="仿宋_GB2312"/>
          <w:b/>
          <w:bCs/>
          <w:color w:val="000000"/>
          <w:sz w:val="32"/>
          <w:szCs w:val="32"/>
        </w:rPr>
        <w:t>（三）行政强制类</w:t>
      </w:r>
    </w:p>
    <w:tbl>
      <w:tblPr>
        <w:tblStyle w:val="7"/>
        <w:tblW w:w="14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86"/>
        <w:gridCol w:w="4095"/>
        <w:gridCol w:w="5980"/>
        <w:gridCol w:w="3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20" w:type="dxa"/>
            <w:vAlign w:val="center"/>
          </w:tcPr>
          <w:p>
            <w:pPr>
              <w:spacing w:line="32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32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686" w:type="dxa"/>
            <w:vAlign w:val="center"/>
          </w:tcPr>
          <w:p>
            <w:pPr>
              <w:spacing w:line="32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4096" w:type="dxa"/>
            <w:vAlign w:val="center"/>
          </w:tcPr>
          <w:p>
            <w:pPr>
              <w:spacing w:line="32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981" w:type="dxa"/>
            <w:vAlign w:val="center"/>
          </w:tcPr>
          <w:p>
            <w:pPr>
              <w:spacing w:line="32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231" w:type="dxa"/>
            <w:vAlign w:val="center"/>
          </w:tcPr>
          <w:p>
            <w:pPr>
              <w:spacing w:line="32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720" w:type="dxa"/>
            <w:vMerge w:val="restart"/>
            <w:vAlign w:val="center"/>
          </w:tcPr>
          <w:p>
            <w:pPr>
              <w:spacing w:line="32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32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320" w:lineRule="exact"/>
              <w:jc w:val="center"/>
              <w:rPr>
                <w:rFonts w:ascii="仿宋_GB2312" w:hAnsi="仿宋" w:eastAsia="仿宋_GB2312" w:cs="Times New Roman"/>
                <w:color w:val="000000"/>
              </w:rPr>
            </w:pPr>
            <w:r>
              <w:rPr>
                <w:rFonts w:hint="eastAsia" w:ascii="仿宋_GB2312" w:hAnsi="仿宋" w:eastAsia="仿宋_GB2312" w:cs="仿宋_GB2312"/>
                <w:color w:val="000000"/>
              </w:rPr>
              <w:t>强</w:t>
            </w:r>
          </w:p>
          <w:p>
            <w:pPr>
              <w:spacing w:line="320" w:lineRule="exact"/>
              <w:jc w:val="center"/>
              <w:rPr>
                <w:rFonts w:ascii="仿宋_GB2312" w:hAnsi="仿宋" w:eastAsia="仿宋_GB2312" w:cs="Times New Roman"/>
                <w:color w:val="000000"/>
              </w:rPr>
            </w:pPr>
            <w:r>
              <w:rPr>
                <w:rFonts w:hint="eastAsia" w:ascii="仿宋_GB2312" w:hAnsi="仿宋" w:eastAsia="仿宋_GB2312" w:cs="仿宋_GB2312"/>
                <w:color w:val="000000"/>
              </w:rPr>
              <w:t>制</w:t>
            </w:r>
          </w:p>
          <w:p>
            <w:pPr>
              <w:spacing w:line="32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686" w:type="dxa"/>
            <w:vMerge w:val="restart"/>
            <w:vAlign w:val="center"/>
          </w:tcPr>
          <w:p>
            <w:pPr>
              <w:spacing w:line="320" w:lineRule="exact"/>
              <w:jc w:val="left"/>
              <w:rPr>
                <w:rFonts w:ascii="仿宋_GB2312" w:hAnsi="仿宋" w:eastAsia="仿宋_GB2312" w:cs="仿宋_GB2312"/>
                <w:color w:val="000000"/>
              </w:rPr>
            </w:pPr>
            <w:r>
              <w:rPr>
                <w:rFonts w:hint="eastAsia" w:ascii="仿宋_GB2312" w:hAnsi="仿宋" w:eastAsia="仿宋_GB2312" w:cs="仿宋_GB2312"/>
                <w:color w:val="000000"/>
              </w:rPr>
              <w:t xml:space="preserve">加处罚款  </w:t>
            </w:r>
          </w:p>
          <w:p>
            <w:pPr>
              <w:widowControl/>
              <w:spacing w:line="320" w:lineRule="exact"/>
              <w:jc w:val="left"/>
              <w:rPr>
                <w:rFonts w:ascii="仿宋_GB2312" w:hAnsi="仿宋" w:eastAsia="仿宋_GB2312" w:cs="Times New Roman"/>
                <w:color w:val="000000"/>
              </w:rPr>
            </w:pPr>
          </w:p>
        </w:tc>
        <w:tc>
          <w:tcPr>
            <w:tcW w:w="4096" w:type="dxa"/>
            <w:vMerge w:val="restart"/>
            <w:vAlign w:val="center"/>
          </w:tcPr>
          <w:p>
            <w:pPr>
              <w:spacing w:line="320" w:lineRule="exact"/>
              <w:jc w:val="left"/>
              <w:rPr>
                <w:rFonts w:ascii="仿宋_GB2312" w:hAnsi="仿宋" w:eastAsia="仿宋_GB2312" w:cs="Times New Roman"/>
                <w:color w:val="000000"/>
              </w:rPr>
            </w:pPr>
            <w:r>
              <w:rPr>
                <w:rFonts w:hint="eastAsia" w:ascii="仿宋_GB2312" w:hAnsi="仿宋" w:eastAsia="仿宋_GB2312" w:cs="仿宋_GB2312"/>
                <w:color w:val="000000"/>
              </w:rPr>
              <w:t>《中华人民共和国行政强制法》第十二条：“行政强制执行的方式（一）加处罚款或者滞纳金”。第四十五条：“行政机关依法作出金钱给付义务的行政决定，当事人逾期不履行的，行政机关可以依法加处罚款或者滞纳金。加处罚款或者滞纳金的标准应当告知当事人”。</w:t>
            </w:r>
          </w:p>
          <w:p>
            <w:pPr>
              <w:spacing w:line="320" w:lineRule="exact"/>
              <w:jc w:val="left"/>
              <w:rPr>
                <w:rFonts w:ascii="仿宋_GB2312" w:hAnsi="仿宋" w:eastAsia="仿宋_GB2312" w:cs="Times New Roman"/>
                <w:color w:val="000000"/>
              </w:rPr>
            </w:pPr>
            <w:r>
              <w:rPr>
                <w:rFonts w:hint="eastAsia" w:ascii="仿宋_GB2312" w:hAnsi="仿宋" w:eastAsia="仿宋_GB2312" w:cs="仿宋_GB2312"/>
                <w:color w:val="000000"/>
              </w:rPr>
              <w:t>《中华人民共和国行政处罚法》第五十一条　当事人逾期不履行行政处罚决定的，作出行政处罚决定的行政机关可以采取下列措施：（一）到期不缴纳罚款的，每日按罚款数额的百分之三加处罚款。</w:t>
            </w:r>
          </w:p>
          <w:p>
            <w:pPr>
              <w:spacing w:line="320" w:lineRule="exact"/>
              <w:jc w:val="left"/>
              <w:rPr>
                <w:rFonts w:ascii="仿宋_GB2312" w:hAnsi="仿宋" w:eastAsia="仿宋_GB2312" w:cs="Times New Roman"/>
                <w:color w:val="000000"/>
              </w:rPr>
            </w:pPr>
            <w:r>
              <w:rPr>
                <w:rFonts w:hint="eastAsia" w:ascii="仿宋_GB2312" w:hAnsi="仿宋" w:eastAsia="仿宋_GB2312" w:cs="仿宋_GB2312"/>
                <w:color w:val="000000"/>
              </w:rPr>
              <w:t>《烟草专卖行政处罚程序规定》第五十二条　行政处罚决定作出后，当事人应当在规定的期限内全面履行。到期不缴纳罚款的，烟草专卖行政主管部门可以每日按罚款数额的百分之三加处罚款。</w:t>
            </w:r>
          </w:p>
        </w:tc>
        <w:tc>
          <w:tcPr>
            <w:tcW w:w="5981" w:type="dxa"/>
            <w:vAlign w:val="center"/>
          </w:tcPr>
          <w:p>
            <w:pPr>
              <w:spacing w:line="320" w:lineRule="exact"/>
              <w:rPr>
                <w:rFonts w:ascii="仿宋_GB2312" w:hAnsi="仿宋" w:eastAsia="仿宋_GB2312" w:cs="Times New Roman"/>
                <w:color w:val="000000"/>
              </w:rPr>
            </w:pPr>
            <w:r>
              <w:rPr>
                <w:rFonts w:hint="eastAsia" w:ascii="仿宋_GB2312" w:hAnsi="仿宋" w:eastAsia="仿宋_GB2312" w:cs="仿宋_GB2312"/>
                <w:color w:val="000000"/>
              </w:rPr>
              <w:t>1.催告责任：烟草专卖行政主管部门的案件办理部门作出加处罚款决定前，应事先书面催告当事人履行义务，并告知当事人履行义务的期限、方式、涉及金钱给付的应明确金额和给付方式、依法享有的陈述权和申辩权。在申请人民法院强制执行前，催告当事人履行义务。</w:t>
            </w:r>
          </w:p>
        </w:tc>
        <w:tc>
          <w:tcPr>
            <w:tcW w:w="3231" w:type="dxa"/>
            <w:vMerge w:val="restart"/>
            <w:vAlign w:val="center"/>
          </w:tcPr>
          <w:p>
            <w:pPr>
              <w:spacing w:line="32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行政机关未履行法定职责或者违法行使职权的，由上级行政机关或者有关部门责令改正，对直接负责的主管人员和其他直接责任人员依法给予处分；给公民、法人或者其他组织造成损失的，依法给予赔偿。</w:t>
            </w:r>
          </w:p>
          <w:p>
            <w:pPr>
              <w:spacing w:line="32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行政机关及其工作人员利用职权为单位或者个人谋求利益的，由上级行政机关或者有关部门责令改正，对直接负责的主管人员和其他直接责任人员依法给予处分；涉嫌犯罪的，移送司法机关处理。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686" w:type="dxa"/>
            <w:vMerge w:val="continue"/>
            <w:vAlign w:val="center"/>
          </w:tcPr>
          <w:p>
            <w:pPr>
              <w:widowControl/>
              <w:jc w:val="left"/>
              <w:rPr>
                <w:rFonts w:ascii="仿宋_GB2312" w:hAnsi="仿宋" w:eastAsia="仿宋_GB2312" w:cs="Times New Roman"/>
                <w:color w:val="000000"/>
              </w:rPr>
            </w:pPr>
          </w:p>
        </w:tc>
        <w:tc>
          <w:tcPr>
            <w:tcW w:w="4096" w:type="dxa"/>
            <w:vMerge w:val="continue"/>
            <w:vAlign w:val="center"/>
          </w:tcPr>
          <w:p>
            <w:pPr>
              <w:widowControl/>
              <w:jc w:val="left"/>
              <w:rPr>
                <w:rFonts w:ascii="仿宋_GB2312" w:hAnsi="仿宋" w:eastAsia="仿宋_GB2312" w:cs="Times New Roman"/>
                <w:color w:val="000000"/>
              </w:rPr>
            </w:pPr>
          </w:p>
        </w:tc>
        <w:tc>
          <w:tcPr>
            <w:tcW w:w="5981" w:type="dxa"/>
            <w:vAlign w:val="center"/>
          </w:tcPr>
          <w:p>
            <w:pPr>
              <w:spacing w:line="320" w:lineRule="exact"/>
              <w:rPr>
                <w:rFonts w:ascii="仿宋_GB2312" w:hAnsi="仿宋" w:eastAsia="仿宋_GB2312" w:cs="Times New Roman"/>
                <w:color w:val="000000"/>
              </w:rPr>
            </w:pPr>
            <w:r>
              <w:rPr>
                <w:rFonts w:hint="eastAsia" w:ascii="仿宋_GB2312" w:hAnsi="仿宋" w:eastAsia="仿宋_GB2312" w:cs="仿宋_GB2312"/>
                <w:color w:val="000000"/>
              </w:rPr>
              <w:t>2.决定责任：依法需要做出加处罚款决定的，制作《加处罚款决定书》，载明加处罚款的理由和依据、方式和时间等内容。当事人在法定期限内不申请行政复议或提起行政诉讼，又不履行行政决定的，制作《行政强制执行申请书》，提交材料申请人民法院强制执行。</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686" w:type="dxa"/>
            <w:vMerge w:val="continue"/>
            <w:vAlign w:val="center"/>
          </w:tcPr>
          <w:p>
            <w:pPr>
              <w:widowControl/>
              <w:jc w:val="left"/>
              <w:rPr>
                <w:rFonts w:ascii="仿宋_GB2312" w:hAnsi="仿宋" w:eastAsia="仿宋_GB2312" w:cs="Times New Roman"/>
                <w:color w:val="000000"/>
              </w:rPr>
            </w:pPr>
          </w:p>
        </w:tc>
        <w:tc>
          <w:tcPr>
            <w:tcW w:w="4096" w:type="dxa"/>
            <w:vMerge w:val="continue"/>
            <w:vAlign w:val="center"/>
          </w:tcPr>
          <w:p>
            <w:pPr>
              <w:widowControl/>
              <w:jc w:val="left"/>
              <w:rPr>
                <w:rFonts w:ascii="仿宋_GB2312" w:hAnsi="仿宋" w:eastAsia="仿宋_GB2312" w:cs="Times New Roman"/>
                <w:color w:val="000000"/>
              </w:rPr>
            </w:pPr>
          </w:p>
        </w:tc>
        <w:tc>
          <w:tcPr>
            <w:tcW w:w="5981" w:type="dxa"/>
            <w:vAlign w:val="center"/>
          </w:tcPr>
          <w:p>
            <w:pPr>
              <w:spacing w:line="320" w:lineRule="exact"/>
              <w:rPr>
                <w:rFonts w:ascii="仿宋_GB2312" w:hAnsi="仿宋" w:eastAsia="仿宋_GB2312" w:cs="Times New Roman"/>
                <w:color w:val="000000"/>
              </w:rPr>
            </w:pPr>
            <w:r>
              <w:rPr>
                <w:rFonts w:hint="eastAsia" w:ascii="仿宋_GB2312" w:hAnsi="仿宋" w:eastAsia="仿宋_GB2312" w:cs="仿宋_GB2312"/>
                <w:color w:val="000000"/>
              </w:rPr>
              <w:t>3.执行责任：监督当事人在法定期限内履行生效的行政决定。当事人在法定期限内没有申请行政复议或提起行政诉讼，又不履行义务的，申请人民法院强制执行。</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686" w:type="dxa"/>
            <w:vMerge w:val="continue"/>
            <w:vAlign w:val="center"/>
          </w:tcPr>
          <w:p>
            <w:pPr>
              <w:widowControl/>
              <w:jc w:val="left"/>
              <w:rPr>
                <w:rFonts w:ascii="仿宋_GB2312" w:hAnsi="仿宋" w:eastAsia="仿宋_GB2312" w:cs="Times New Roman"/>
                <w:color w:val="000000"/>
              </w:rPr>
            </w:pPr>
          </w:p>
        </w:tc>
        <w:tc>
          <w:tcPr>
            <w:tcW w:w="4096" w:type="dxa"/>
            <w:vMerge w:val="continue"/>
            <w:vAlign w:val="center"/>
          </w:tcPr>
          <w:p>
            <w:pPr>
              <w:widowControl/>
              <w:jc w:val="left"/>
              <w:rPr>
                <w:rFonts w:ascii="仿宋_GB2312" w:hAnsi="仿宋" w:eastAsia="仿宋_GB2312" w:cs="Times New Roman"/>
                <w:color w:val="000000"/>
              </w:rPr>
            </w:pPr>
          </w:p>
        </w:tc>
        <w:tc>
          <w:tcPr>
            <w:tcW w:w="5981" w:type="dxa"/>
            <w:vAlign w:val="center"/>
          </w:tcPr>
          <w:p>
            <w:pPr>
              <w:spacing w:line="320" w:lineRule="exact"/>
              <w:rPr>
                <w:rFonts w:ascii="仿宋_GB2312" w:hAnsi="仿宋" w:eastAsia="仿宋_GB2312" w:cs="Times New Roman"/>
                <w:color w:val="000000"/>
              </w:rPr>
            </w:pPr>
            <w:r>
              <w:rPr>
                <w:rFonts w:hint="eastAsia" w:ascii="仿宋_GB2312" w:hAnsi="仿宋" w:eastAsia="仿宋_GB2312" w:cs="仿宋_GB2312"/>
                <w:color w:val="000000"/>
              </w:rPr>
              <w:t>4.事后监管责任：加强对从事烟草专卖经营活动情况监督检查。</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4714" w:type="dxa"/>
            <w:vMerge w:val="continue"/>
            <w:vAlign w:val="center"/>
          </w:tcPr>
          <w:p>
            <w:pPr>
              <w:widowControl/>
              <w:jc w:val="left"/>
              <w:rPr>
                <w:rFonts w:ascii="仿宋_GB2312" w:hAnsi="仿宋" w:eastAsia="仿宋_GB2312" w:cs="Times New Roman"/>
                <w:color w:val="000000"/>
              </w:rPr>
            </w:pPr>
          </w:p>
        </w:tc>
        <w:tc>
          <w:tcPr>
            <w:tcW w:w="686" w:type="dxa"/>
            <w:vMerge w:val="continue"/>
            <w:vAlign w:val="center"/>
          </w:tcPr>
          <w:p>
            <w:pPr>
              <w:widowControl/>
              <w:jc w:val="left"/>
              <w:rPr>
                <w:rFonts w:ascii="仿宋_GB2312" w:hAnsi="仿宋" w:eastAsia="仿宋_GB2312" w:cs="Times New Roman"/>
                <w:color w:val="000000"/>
              </w:rPr>
            </w:pPr>
          </w:p>
        </w:tc>
        <w:tc>
          <w:tcPr>
            <w:tcW w:w="4096" w:type="dxa"/>
            <w:vMerge w:val="continue"/>
            <w:vAlign w:val="center"/>
          </w:tcPr>
          <w:p>
            <w:pPr>
              <w:widowControl/>
              <w:jc w:val="left"/>
              <w:rPr>
                <w:rFonts w:ascii="仿宋_GB2312" w:hAnsi="仿宋" w:eastAsia="仿宋_GB2312" w:cs="Times New Roman"/>
                <w:color w:val="000000"/>
              </w:rPr>
            </w:pPr>
          </w:p>
        </w:tc>
        <w:tc>
          <w:tcPr>
            <w:tcW w:w="5981" w:type="dxa"/>
            <w:vAlign w:val="center"/>
          </w:tcPr>
          <w:p>
            <w:pPr>
              <w:spacing w:line="320" w:lineRule="exact"/>
              <w:rPr>
                <w:rFonts w:ascii="仿宋_GB2312" w:hAnsi="仿宋" w:eastAsia="仿宋_GB2312" w:cs="Times New Roman"/>
                <w:color w:val="000000"/>
              </w:rPr>
            </w:pPr>
            <w:r>
              <w:rPr>
                <w:rFonts w:hint="eastAsia" w:ascii="仿宋_GB2312" w:hAnsi="仿宋" w:eastAsia="仿宋_GB2312" w:cs="仿宋_GB2312"/>
                <w:color w:val="000000"/>
              </w:rPr>
              <w:t>5.法律、法规、规章规定的其他应履行的责任事项。</w:t>
            </w:r>
          </w:p>
        </w:tc>
        <w:tc>
          <w:tcPr>
            <w:tcW w:w="323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4714" w:type="dxa"/>
            <w:gridSpan w:val="5"/>
            <w:vAlign w:val="center"/>
          </w:tcPr>
          <w:p>
            <w:pPr>
              <w:spacing w:line="32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tabs>
          <w:tab w:val="left" w:pos="423"/>
        </w:tabs>
        <w:spacing w:line="320" w:lineRule="exact"/>
        <w:rPr>
          <w:rFonts w:ascii="仿宋" w:hAnsi="仿宋" w:eastAsia="仿宋" w:cs="Times New Roman"/>
          <w:b/>
          <w:bCs/>
          <w:color w:val="000000"/>
          <w:sz w:val="32"/>
        </w:rPr>
      </w:pPr>
    </w:p>
    <w:tbl>
      <w:tblPr>
        <w:tblStyle w:val="7"/>
        <w:tblW w:w="15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804"/>
        <w:gridCol w:w="3973"/>
        <w:gridCol w:w="5973"/>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19" w:type="dxa"/>
            <w:vAlign w:val="center"/>
          </w:tcPr>
          <w:p>
            <w:pPr>
              <w:spacing w:line="32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32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804" w:type="dxa"/>
            <w:vAlign w:val="center"/>
          </w:tcPr>
          <w:p>
            <w:pPr>
              <w:spacing w:line="32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3974" w:type="dxa"/>
            <w:vAlign w:val="center"/>
          </w:tcPr>
          <w:p>
            <w:pPr>
              <w:spacing w:line="32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5975" w:type="dxa"/>
            <w:vAlign w:val="center"/>
          </w:tcPr>
          <w:p>
            <w:pPr>
              <w:spacing w:line="32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761" w:type="dxa"/>
            <w:vAlign w:val="center"/>
          </w:tcPr>
          <w:p>
            <w:pPr>
              <w:spacing w:line="32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719" w:type="dxa"/>
            <w:vMerge w:val="restart"/>
            <w:vAlign w:val="center"/>
          </w:tcPr>
          <w:p>
            <w:pPr>
              <w:spacing w:line="32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32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320" w:lineRule="exact"/>
              <w:jc w:val="center"/>
              <w:rPr>
                <w:rFonts w:ascii="仿宋_GB2312" w:hAnsi="仿宋" w:eastAsia="仿宋_GB2312" w:cs="Times New Roman"/>
                <w:color w:val="000000"/>
              </w:rPr>
            </w:pPr>
            <w:r>
              <w:rPr>
                <w:rFonts w:hint="eastAsia" w:ascii="仿宋_GB2312" w:hAnsi="仿宋" w:eastAsia="仿宋_GB2312" w:cs="仿宋_GB2312"/>
                <w:color w:val="000000"/>
              </w:rPr>
              <w:t>强</w:t>
            </w:r>
          </w:p>
          <w:p>
            <w:pPr>
              <w:spacing w:line="320" w:lineRule="exact"/>
              <w:jc w:val="center"/>
              <w:rPr>
                <w:rFonts w:ascii="仿宋_GB2312" w:hAnsi="仿宋" w:eastAsia="仿宋_GB2312" w:cs="Times New Roman"/>
                <w:color w:val="000000"/>
              </w:rPr>
            </w:pPr>
            <w:r>
              <w:rPr>
                <w:rFonts w:hint="eastAsia" w:ascii="仿宋_GB2312" w:hAnsi="仿宋" w:eastAsia="仿宋_GB2312" w:cs="仿宋_GB2312"/>
                <w:color w:val="000000"/>
              </w:rPr>
              <w:t>制</w:t>
            </w:r>
          </w:p>
          <w:p>
            <w:pPr>
              <w:spacing w:line="32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804" w:type="dxa"/>
            <w:vMerge w:val="restart"/>
            <w:vAlign w:val="center"/>
          </w:tcPr>
          <w:p>
            <w:pPr>
              <w:widowControl/>
              <w:spacing w:line="320" w:lineRule="exact"/>
              <w:jc w:val="left"/>
              <w:rPr>
                <w:rFonts w:ascii="仿宋_GB2312" w:hAnsi="仿宋" w:eastAsia="仿宋_GB2312" w:cs="Times New Roman"/>
                <w:color w:val="000000"/>
              </w:rPr>
            </w:pPr>
            <w:r>
              <w:rPr>
                <w:rFonts w:hint="eastAsia" w:ascii="仿宋_GB2312" w:hAnsi="仿宋" w:eastAsia="仿宋_GB2312" w:cs="仿宋_GB2312"/>
                <w:color w:val="000000"/>
              </w:rPr>
              <w:t>申请人民法院强制执行</w:t>
            </w:r>
          </w:p>
          <w:p>
            <w:pPr>
              <w:widowControl/>
              <w:spacing w:line="320" w:lineRule="exact"/>
              <w:jc w:val="left"/>
              <w:rPr>
                <w:rFonts w:ascii="仿宋_GB2312" w:hAnsi="仿宋" w:eastAsia="仿宋_GB2312" w:cs="Times New Roman"/>
                <w:color w:val="000000"/>
              </w:rPr>
            </w:pPr>
          </w:p>
        </w:tc>
        <w:tc>
          <w:tcPr>
            <w:tcW w:w="3974" w:type="dxa"/>
            <w:vMerge w:val="restart"/>
            <w:vAlign w:val="center"/>
          </w:tcPr>
          <w:p>
            <w:pPr>
              <w:spacing w:line="320" w:lineRule="exact"/>
              <w:jc w:val="left"/>
              <w:rPr>
                <w:rFonts w:ascii="仿宋_GB2312" w:hAnsi="仿宋" w:eastAsia="仿宋_GB2312" w:cs="Times New Roman"/>
                <w:color w:val="000000"/>
              </w:rPr>
            </w:pPr>
            <w:r>
              <w:rPr>
                <w:rFonts w:hint="eastAsia" w:ascii="仿宋_GB2312" w:hAnsi="仿宋" w:eastAsia="仿宋_GB2312" w:cs="仿宋_GB2312"/>
                <w:color w:val="000000"/>
              </w:rPr>
              <w:t>《中华人民共和国行政强制法》第四十六条第一款：“行政机关依照本法第四十五条规定实施加处罚款或者滞纳金超过三十日，经催告当事人仍不履行的，具有行政强制执行权的行政机关可以强制执行”；第三款：“没有行政强制执行权的行政机关应当申请人民法院强制执行”。</w:t>
            </w:r>
          </w:p>
          <w:p>
            <w:pPr>
              <w:spacing w:line="320" w:lineRule="exact"/>
              <w:jc w:val="left"/>
              <w:rPr>
                <w:rFonts w:ascii="仿宋_GB2312" w:hAnsi="仿宋" w:eastAsia="仿宋_GB2312" w:cs="Times New Roman"/>
                <w:color w:val="000000"/>
              </w:rPr>
            </w:pPr>
            <w:r>
              <w:rPr>
                <w:rFonts w:hint="eastAsia" w:ascii="仿宋_GB2312" w:hAnsi="仿宋" w:eastAsia="仿宋_GB2312" w:cs="仿宋_GB2312"/>
                <w:color w:val="000000"/>
              </w:rPr>
              <w:t>《中华人民共和国行政强制法》第五十三条：“当事人在法定期限内不申请行政复议或者提起行政诉讼，又不履行行政决定的，没有行政强制执行权的行政机关可以自期限届满之日起三个月内，依照本章规定申请人民法院强制执行”。</w:t>
            </w:r>
            <w:r>
              <w:rPr>
                <w:rFonts w:hint="eastAsia" w:ascii="仿宋_GB2312" w:hAnsi="仿宋" w:eastAsia="仿宋_GB2312" w:cs="Times New Roman"/>
                <w:color w:val="000000"/>
              </w:rPr>
              <w:t xml:space="preserve"> </w:t>
            </w:r>
          </w:p>
          <w:p>
            <w:pPr>
              <w:spacing w:line="320" w:lineRule="exact"/>
              <w:jc w:val="left"/>
              <w:rPr>
                <w:rFonts w:ascii="仿宋_GB2312" w:hAnsi="仿宋" w:eastAsia="仿宋_GB2312" w:cs="Times New Roman"/>
                <w:color w:val="000000"/>
              </w:rPr>
            </w:pPr>
          </w:p>
        </w:tc>
        <w:tc>
          <w:tcPr>
            <w:tcW w:w="5975" w:type="dxa"/>
            <w:vAlign w:val="center"/>
          </w:tcPr>
          <w:p>
            <w:pPr>
              <w:spacing w:line="320" w:lineRule="exact"/>
              <w:rPr>
                <w:rFonts w:ascii="仿宋_GB2312" w:hAnsi="仿宋" w:eastAsia="仿宋_GB2312" w:cs="Times New Roman"/>
                <w:color w:val="000000"/>
              </w:rPr>
            </w:pPr>
            <w:r>
              <w:rPr>
                <w:rFonts w:hint="eastAsia" w:ascii="仿宋_GB2312" w:hAnsi="仿宋" w:eastAsia="仿宋_GB2312" w:cs="仿宋_GB2312"/>
                <w:color w:val="000000"/>
              </w:rPr>
              <w:t>1.催告责任：烟草专卖行政主管部门的案件办理部门在申请人民法院强制执行前，催告当事人履行义务。</w:t>
            </w:r>
          </w:p>
        </w:tc>
        <w:tc>
          <w:tcPr>
            <w:tcW w:w="3761" w:type="dxa"/>
            <w:vMerge w:val="restart"/>
            <w:vAlign w:val="center"/>
          </w:tcPr>
          <w:p>
            <w:pPr>
              <w:spacing w:line="32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行政机关未履行法定职责或者违法行使职权的，由上级行政机关或者有关部门责令改正，对直接负责的主管人员和其他直接责任人员依法给予处分；给公民、法人或者其他组织造成损失的，依法给予赔偿。</w:t>
            </w:r>
          </w:p>
          <w:p>
            <w:pPr>
              <w:spacing w:line="32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行政机关及其工作人员利用职权为单位或者个人谋求利益的，由上级行政机关或者有关部门责令改正，对直接负责的主管人员和其他直接责任人员依法给予处分；涉嫌犯罪的，移送司法机关处理。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jc w:val="center"/>
        </w:trPr>
        <w:tc>
          <w:tcPr>
            <w:tcW w:w="15233" w:type="dxa"/>
            <w:vMerge w:val="continue"/>
            <w:vAlign w:val="center"/>
          </w:tcPr>
          <w:p>
            <w:pPr>
              <w:widowControl/>
              <w:jc w:val="left"/>
              <w:rPr>
                <w:rFonts w:ascii="仿宋_GB2312" w:hAnsi="仿宋" w:eastAsia="仿宋_GB2312" w:cs="Times New Roman"/>
                <w:color w:val="000000"/>
              </w:rPr>
            </w:pPr>
          </w:p>
        </w:tc>
        <w:tc>
          <w:tcPr>
            <w:tcW w:w="804" w:type="dxa"/>
            <w:vMerge w:val="continue"/>
            <w:vAlign w:val="center"/>
          </w:tcPr>
          <w:p>
            <w:pPr>
              <w:widowControl/>
              <w:jc w:val="left"/>
              <w:rPr>
                <w:rFonts w:ascii="仿宋_GB2312" w:hAnsi="仿宋" w:eastAsia="仿宋_GB2312" w:cs="Times New Roman"/>
                <w:color w:val="000000"/>
              </w:rPr>
            </w:pPr>
          </w:p>
        </w:tc>
        <w:tc>
          <w:tcPr>
            <w:tcW w:w="3974" w:type="dxa"/>
            <w:vMerge w:val="continue"/>
            <w:vAlign w:val="center"/>
          </w:tcPr>
          <w:p>
            <w:pPr>
              <w:widowControl/>
              <w:jc w:val="left"/>
              <w:rPr>
                <w:rFonts w:ascii="仿宋_GB2312" w:hAnsi="仿宋" w:eastAsia="仿宋_GB2312" w:cs="Times New Roman"/>
                <w:color w:val="000000"/>
              </w:rPr>
            </w:pPr>
          </w:p>
        </w:tc>
        <w:tc>
          <w:tcPr>
            <w:tcW w:w="5975" w:type="dxa"/>
            <w:vAlign w:val="center"/>
          </w:tcPr>
          <w:p>
            <w:pPr>
              <w:spacing w:line="320" w:lineRule="exact"/>
              <w:rPr>
                <w:rFonts w:ascii="仿宋_GB2312" w:hAnsi="仿宋" w:eastAsia="仿宋_GB2312" w:cs="Times New Roman"/>
                <w:color w:val="000000"/>
              </w:rPr>
            </w:pPr>
            <w:r>
              <w:rPr>
                <w:rFonts w:hint="eastAsia" w:ascii="仿宋_GB2312" w:hAnsi="仿宋" w:eastAsia="仿宋_GB2312" w:cs="仿宋_GB2312"/>
                <w:color w:val="000000"/>
              </w:rPr>
              <w:t>2.决定责任：当事人在法定期限内不申请行政复议或提起行政诉讼，又不履行行政决定的，烟草专卖行政主管部门制作《行政强制执行申请书》，提交材料申请人民法院强制执行。</w:t>
            </w:r>
          </w:p>
        </w:tc>
        <w:tc>
          <w:tcPr>
            <w:tcW w:w="376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15233" w:type="dxa"/>
            <w:vMerge w:val="continue"/>
            <w:vAlign w:val="center"/>
          </w:tcPr>
          <w:p>
            <w:pPr>
              <w:widowControl/>
              <w:jc w:val="left"/>
              <w:rPr>
                <w:rFonts w:ascii="仿宋_GB2312" w:hAnsi="仿宋" w:eastAsia="仿宋_GB2312" w:cs="Times New Roman"/>
                <w:color w:val="000000"/>
              </w:rPr>
            </w:pPr>
          </w:p>
        </w:tc>
        <w:tc>
          <w:tcPr>
            <w:tcW w:w="804" w:type="dxa"/>
            <w:vMerge w:val="continue"/>
            <w:vAlign w:val="center"/>
          </w:tcPr>
          <w:p>
            <w:pPr>
              <w:widowControl/>
              <w:jc w:val="left"/>
              <w:rPr>
                <w:rFonts w:ascii="仿宋_GB2312" w:hAnsi="仿宋" w:eastAsia="仿宋_GB2312" w:cs="Times New Roman"/>
                <w:color w:val="000000"/>
              </w:rPr>
            </w:pPr>
          </w:p>
        </w:tc>
        <w:tc>
          <w:tcPr>
            <w:tcW w:w="3974" w:type="dxa"/>
            <w:vMerge w:val="continue"/>
            <w:vAlign w:val="center"/>
          </w:tcPr>
          <w:p>
            <w:pPr>
              <w:widowControl/>
              <w:jc w:val="left"/>
              <w:rPr>
                <w:rFonts w:ascii="仿宋_GB2312" w:hAnsi="仿宋" w:eastAsia="仿宋_GB2312" w:cs="Times New Roman"/>
                <w:color w:val="000000"/>
              </w:rPr>
            </w:pPr>
          </w:p>
        </w:tc>
        <w:tc>
          <w:tcPr>
            <w:tcW w:w="5975" w:type="dxa"/>
            <w:vAlign w:val="center"/>
          </w:tcPr>
          <w:p>
            <w:pPr>
              <w:spacing w:line="320" w:lineRule="exact"/>
              <w:rPr>
                <w:rFonts w:ascii="仿宋_GB2312" w:hAnsi="仿宋" w:eastAsia="仿宋_GB2312" w:cs="Times New Roman"/>
                <w:color w:val="000000"/>
              </w:rPr>
            </w:pPr>
            <w:r>
              <w:rPr>
                <w:rFonts w:hint="eastAsia" w:ascii="仿宋_GB2312" w:hAnsi="仿宋" w:eastAsia="仿宋_GB2312" w:cs="仿宋_GB2312"/>
                <w:color w:val="000000"/>
              </w:rPr>
              <w:t>3.执行责任：监督当事人在法定期限内履行生效的行政决定。当事人在法定期限内没有申请行政复议或提起行政诉讼，又不履行义务的，申请人民法院强制执行。</w:t>
            </w:r>
          </w:p>
        </w:tc>
        <w:tc>
          <w:tcPr>
            <w:tcW w:w="376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5233" w:type="dxa"/>
            <w:vMerge w:val="continue"/>
            <w:vAlign w:val="center"/>
          </w:tcPr>
          <w:p>
            <w:pPr>
              <w:widowControl/>
              <w:jc w:val="left"/>
              <w:rPr>
                <w:rFonts w:ascii="仿宋_GB2312" w:hAnsi="仿宋" w:eastAsia="仿宋_GB2312" w:cs="Times New Roman"/>
                <w:color w:val="000000"/>
              </w:rPr>
            </w:pPr>
          </w:p>
        </w:tc>
        <w:tc>
          <w:tcPr>
            <w:tcW w:w="804" w:type="dxa"/>
            <w:vMerge w:val="continue"/>
            <w:vAlign w:val="center"/>
          </w:tcPr>
          <w:p>
            <w:pPr>
              <w:widowControl/>
              <w:jc w:val="left"/>
              <w:rPr>
                <w:rFonts w:ascii="仿宋_GB2312" w:hAnsi="仿宋" w:eastAsia="仿宋_GB2312" w:cs="Times New Roman"/>
                <w:color w:val="000000"/>
              </w:rPr>
            </w:pPr>
          </w:p>
        </w:tc>
        <w:tc>
          <w:tcPr>
            <w:tcW w:w="3974" w:type="dxa"/>
            <w:vMerge w:val="continue"/>
            <w:vAlign w:val="center"/>
          </w:tcPr>
          <w:p>
            <w:pPr>
              <w:widowControl/>
              <w:jc w:val="left"/>
              <w:rPr>
                <w:rFonts w:ascii="仿宋_GB2312" w:hAnsi="仿宋" w:eastAsia="仿宋_GB2312" w:cs="Times New Roman"/>
                <w:color w:val="000000"/>
              </w:rPr>
            </w:pPr>
          </w:p>
        </w:tc>
        <w:tc>
          <w:tcPr>
            <w:tcW w:w="5975" w:type="dxa"/>
            <w:vAlign w:val="center"/>
          </w:tcPr>
          <w:p>
            <w:pPr>
              <w:spacing w:line="320" w:lineRule="exact"/>
              <w:rPr>
                <w:rFonts w:ascii="仿宋_GB2312" w:hAnsi="仿宋" w:eastAsia="仿宋_GB2312" w:cs="Times New Roman"/>
                <w:color w:val="000000"/>
              </w:rPr>
            </w:pPr>
            <w:r>
              <w:rPr>
                <w:rFonts w:hint="eastAsia" w:ascii="仿宋_GB2312" w:hAnsi="仿宋" w:eastAsia="仿宋_GB2312" w:cs="仿宋_GB2312"/>
                <w:color w:val="000000"/>
              </w:rPr>
              <w:t>4.事后监管责任：加强对从事烟草专卖经营活动情况监督检查。</w:t>
            </w:r>
          </w:p>
        </w:tc>
        <w:tc>
          <w:tcPr>
            <w:tcW w:w="376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15233" w:type="dxa"/>
            <w:vMerge w:val="continue"/>
            <w:vAlign w:val="center"/>
          </w:tcPr>
          <w:p>
            <w:pPr>
              <w:widowControl/>
              <w:jc w:val="left"/>
              <w:rPr>
                <w:rFonts w:ascii="仿宋_GB2312" w:hAnsi="仿宋" w:eastAsia="仿宋_GB2312" w:cs="Times New Roman"/>
                <w:color w:val="000000"/>
              </w:rPr>
            </w:pPr>
          </w:p>
        </w:tc>
        <w:tc>
          <w:tcPr>
            <w:tcW w:w="804" w:type="dxa"/>
            <w:vMerge w:val="continue"/>
            <w:vAlign w:val="center"/>
          </w:tcPr>
          <w:p>
            <w:pPr>
              <w:widowControl/>
              <w:jc w:val="left"/>
              <w:rPr>
                <w:rFonts w:ascii="仿宋_GB2312" w:hAnsi="仿宋" w:eastAsia="仿宋_GB2312" w:cs="Times New Roman"/>
                <w:color w:val="000000"/>
              </w:rPr>
            </w:pPr>
          </w:p>
        </w:tc>
        <w:tc>
          <w:tcPr>
            <w:tcW w:w="3974" w:type="dxa"/>
            <w:vMerge w:val="continue"/>
            <w:vAlign w:val="center"/>
          </w:tcPr>
          <w:p>
            <w:pPr>
              <w:widowControl/>
              <w:jc w:val="left"/>
              <w:rPr>
                <w:rFonts w:ascii="仿宋_GB2312" w:hAnsi="仿宋" w:eastAsia="仿宋_GB2312" w:cs="Times New Roman"/>
                <w:color w:val="000000"/>
              </w:rPr>
            </w:pPr>
          </w:p>
        </w:tc>
        <w:tc>
          <w:tcPr>
            <w:tcW w:w="5975" w:type="dxa"/>
            <w:vAlign w:val="center"/>
          </w:tcPr>
          <w:p>
            <w:pPr>
              <w:spacing w:line="320" w:lineRule="exact"/>
              <w:rPr>
                <w:rFonts w:ascii="仿宋_GB2312" w:hAnsi="仿宋" w:eastAsia="仿宋_GB2312" w:cs="Times New Roman"/>
                <w:color w:val="000000"/>
              </w:rPr>
            </w:pPr>
            <w:r>
              <w:rPr>
                <w:rFonts w:hint="eastAsia" w:ascii="仿宋_GB2312" w:hAnsi="仿宋" w:eastAsia="仿宋_GB2312" w:cs="仿宋_GB2312"/>
                <w:color w:val="000000"/>
              </w:rPr>
              <w:t>5.法律、法规、规章规定的其他应履行的责任事项。</w:t>
            </w:r>
          </w:p>
        </w:tc>
        <w:tc>
          <w:tcPr>
            <w:tcW w:w="376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5233" w:type="dxa"/>
            <w:gridSpan w:val="5"/>
            <w:vAlign w:val="center"/>
          </w:tcPr>
          <w:p>
            <w:pPr>
              <w:spacing w:line="32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rPr>
          <w:rFonts w:ascii="仿宋" w:hAnsi="仿宋" w:eastAsia="仿宋" w:cs="Times New Roman"/>
          <w:b/>
          <w:bCs/>
          <w:color w:val="000000"/>
          <w:sz w:val="32"/>
        </w:rPr>
      </w:pPr>
    </w:p>
    <w:p>
      <w:pPr>
        <w:spacing w:line="320" w:lineRule="exact"/>
        <w:rPr>
          <w:rFonts w:ascii="仿宋" w:hAnsi="仿宋" w:eastAsia="仿宋" w:cs="Times New Roman"/>
          <w:b/>
          <w:bCs/>
          <w:color w:val="000000"/>
          <w:sz w:val="32"/>
        </w:rPr>
      </w:pPr>
    </w:p>
    <w:tbl>
      <w:tblPr>
        <w:tblStyle w:val="7"/>
        <w:tblW w:w="14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70"/>
        <w:gridCol w:w="3550"/>
        <w:gridCol w:w="6029"/>
        <w:gridCol w:w="3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26"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1270"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3550"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6029"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3399"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726" w:type="dxa"/>
            <w:vMerge w:val="restart"/>
            <w:vAlign w:val="center"/>
          </w:tcPr>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强</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制</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1270" w:type="dxa"/>
            <w:vMerge w:val="restart"/>
            <w:vAlign w:val="center"/>
          </w:tcPr>
          <w:p>
            <w:pPr>
              <w:widowControl/>
              <w:spacing w:line="360" w:lineRule="exact"/>
              <w:jc w:val="center"/>
              <w:rPr>
                <w:rFonts w:ascii="仿宋_GB2312" w:hAnsi="仿宋" w:eastAsia="仿宋_GB2312" w:cs="Times New Roman"/>
                <w:color w:val="000000"/>
              </w:rPr>
            </w:pPr>
          </w:p>
          <w:p>
            <w:pPr>
              <w:widowControl/>
              <w:spacing w:line="360" w:lineRule="exact"/>
              <w:jc w:val="left"/>
              <w:rPr>
                <w:rFonts w:ascii="仿宋_GB2312" w:hAnsi="仿宋" w:eastAsia="仿宋_GB2312" w:cs="Times New Roman"/>
                <w:color w:val="000000"/>
              </w:rPr>
            </w:pPr>
            <w:r>
              <w:rPr>
                <w:rFonts w:hint="eastAsia" w:ascii="仿宋_GB2312" w:hAnsi="仿宋" w:eastAsia="仿宋_GB2312" w:cs="仿宋_GB2312"/>
                <w:color w:val="000000"/>
              </w:rPr>
              <w:t>变卖依法查获的烟草专卖品</w:t>
            </w:r>
          </w:p>
          <w:p>
            <w:pPr>
              <w:spacing w:line="360" w:lineRule="exact"/>
              <w:jc w:val="center"/>
              <w:rPr>
                <w:rFonts w:ascii="仿宋_GB2312" w:hAnsi="仿宋" w:eastAsia="仿宋_GB2312" w:cs="Times New Roman"/>
                <w:color w:val="000000"/>
              </w:rPr>
            </w:pPr>
          </w:p>
        </w:tc>
        <w:tc>
          <w:tcPr>
            <w:tcW w:w="3550" w:type="dxa"/>
            <w:vMerge w:val="restart"/>
            <w:vAlign w:val="center"/>
          </w:tcPr>
          <w:p>
            <w:pPr>
              <w:spacing w:line="360" w:lineRule="exact"/>
              <w:jc w:val="left"/>
              <w:rPr>
                <w:rFonts w:ascii="仿宋_GB2312" w:hAnsi="仿宋" w:eastAsia="仿宋_GB2312" w:cs="Times New Roman"/>
                <w:color w:val="000000"/>
              </w:rPr>
            </w:pPr>
            <w:r>
              <w:rPr>
                <w:rFonts w:hint="eastAsia" w:ascii="仿宋_GB2312" w:hAnsi="仿宋" w:eastAsia="仿宋_GB2312" w:cs="仿宋_GB2312"/>
                <w:color w:val="000000"/>
              </w:rPr>
              <w:t>《中华人民共和国行政处罚法》第七十四条　除依法应当予以销毁的物品外，依法没收的非法财物必须按照国家规定公开拍卖或者按照国家有关规定处理。</w:t>
            </w:r>
          </w:p>
          <w:p>
            <w:pPr>
              <w:spacing w:line="360" w:lineRule="exact"/>
              <w:jc w:val="left"/>
              <w:rPr>
                <w:rFonts w:ascii="仿宋_GB2312" w:hAnsi="仿宋" w:eastAsia="仿宋_GB2312" w:cs="Times New Roman"/>
                <w:color w:val="000000"/>
              </w:rPr>
            </w:pPr>
            <w:r>
              <w:rPr>
                <w:rFonts w:hint="eastAsia" w:ascii="仿宋_GB2312" w:hAnsi="仿宋" w:eastAsia="仿宋_GB2312" w:cs="仿宋_GB2312"/>
                <w:color w:val="000000"/>
              </w:rPr>
              <w:t>《烟草专卖行政处罚程序规定》第五十八条 对于依法查获的烟草专卖品，自烟草专卖行政主管部门采取张贴通告、发布公告等措施之日起三十日内无法找到当事人的，经本烟草专卖行政主管部门负责人批准，可以采取变卖等处理措施，变卖款上缴国库。</w:t>
            </w:r>
          </w:p>
          <w:p>
            <w:pPr>
              <w:spacing w:line="360" w:lineRule="exact"/>
              <w:jc w:val="left"/>
              <w:rPr>
                <w:rFonts w:ascii="仿宋_GB2312" w:hAnsi="仿宋" w:eastAsia="仿宋_GB2312" w:cs="Times New Roman"/>
                <w:color w:val="000000"/>
              </w:rPr>
            </w:pPr>
          </w:p>
        </w:tc>
        <w:tc>
          <w:tcPr>
            <w:tcW w:w="6029" w:type="dxa"/>
            <w:vAlign w:val="center"/>
          </w:tcPr>
          <w:p>
            <w:pPr>
              <w:widowControl/>
              <w:spacing w:line="360" w:lineRule="exact"/>
              <w:jc w:val="left"/>
              <w:rPr>
                <w:rFonts w:ascii="仿宋_GB2312" w:hAnsi="仿宋" w:eastAsia="仿宋_GB2312" w:cs="Times New Roman"/>
                <w:color w:val="000000"/>
              </w:rPr>
            </w:pPr>
            <w:r>
              <w:rPr>
                <w:rFonts w:hint="eastAsia" w:ascii="仿宋_GB2312" w:hAnsi="仿宋" w:eastAsia="仿宋_GB2312" w:cs="仿宋_GB2312"/>
                <w:color w:val="000000"/>
              </w:rPr>
              <w:t>1.催告责任：烟草专卖行政主管部门的案件办理部门作出变卖依法查获的烟草专卖品决定前，应张贴通告、发布公告三十日寻找当事人。</w:t>
            </w:r>
          </w:p>
        </w:tc>
        <w:tc>
          <w:tcPr>
            <w:tcW w:w="3399" w:type="dxa"/>
            <w:vMerge w:val="restart"/>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行政机关未履行法定职责或者违法行使职权的，由上级行政机关或者有关部门责令改正，对直接负责的主管人员和其他直接责任人员依法给予处分；给公民、法人或者其他组织造成损失的，依法给予赔偿。</w:t>
            </w:r>
          </w:p>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行政机关及其工作人员利用职权为单位或者个人谋求利益的，由上级行政机关或者有关部门责令改正，对直接负责的主管人员和其他直接责任人员依法给予处分；涉嫌犯罪的，移送司法机关处理。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14975" w:type="dxa"/>
            <w:vMerge w:val="continue"/>
            <w:vAlign w:val="center"/>
          </w:tcPr>
          <w:p>
            <w:pPr>
              <w:widowControl/>
              <w:jc w:val="left"/>
              <w:rPr>
                <w:rFonts w:ascii="仿宋_GB2312" w:hAnsi="仿宋" w:eastAsia="仿宋_GB2312" w:cs="Times New Roman"/>
                <w:color w:val="000000"/>
              </w:rPr>
            </w:pPr>
          </w:p>
        </w:tc>
        <w:tc>
          <w:tcPr>
            <w:tcW w:w="1270" w:type="dxa"/>
            <w:vMerge w:val="continue"/>
            <w:vAlign w:val="center"/>
          </w:tcPr>
          <w:p>
            <w:pPr>
              <w:widowControl/>
              <w:jc w:val="left"/>
              <w:rPr>
                <w:rFonts w:ascii="仿宋_GB2312" w:hAnsi="仿宋" w:eastAsia="仿宋_GB2312" w:cs="Times New Roman"/>
                <w:color w:val="000000"/>
              </w:rPr>
            </w:pPr>
          </w:p>
        </w:tc>
        <w:tc>
          <w:tcPr>
            <w:tcW w:w="3550" w:type="dxa"/>
            <w:vMerge w:val="continue"/>
            <w:vAlign w:val="center"/>
          </w:tcPr>
          <w:p>
            <w:pPr>
              <w:widowControl/>
              <w:jc w:val="left"/>
              <w:rPr>
                <w:rFonts w:ascii="仿宋_GB2312" w:hAnsi="仿宋" w:eastAsia="仿宋_GB2312" w:cs="Times New Roman"/>
                <w:color w:val="000000"/>
              </w:rPr>
            </w:pPr>
          </w:p>
        </w:tc>
        <w:tc>
          <w:tcPr>
            <w:tcW w:w="6029" w:type="dxa"/>
            <w:vAlign w:val="center"/>
          </w:tcPr>
          <w:p>
            <w:pPr>
              <w:spacing w:line="360" w:lineRule="exact"/>
              <w:jc w:val="left"/>
              <w:rPr>
                <w:rFonts w:ascii="仿宋_GB2312" w:hAnsi="仿宋" w:eastAsia="仿宋_GB2312" w:cs="Times New Roman"/>
                <w:color w:val="000000"/>
              </w:rPr>
            </w:pPr>
            <w:r>
              <w:rPr>
                <w:rFonts w:hint="eastAsia" w:ascii="仿宋_GB2312" w:hAnsi="仿宋" w:eastAsia="仿宋_GB2312" w:cs="仿宋_GB2312"/>
                <w:color w:val="000000"/>
              </w:rPr>
              <w:t>2.决定责任：对于依法查获的烟草专卖品，自采取张贴通告、发布公告等措施之日起三十日内无法找到当事人的，烟草专卖行政主管部门的案件办理部门报经本部门负责人批准依法变卖。</w:t>
            </w:r>
          </w:p>
        </w:tc>
        <w:tc>
          <w:tcPr>
            <w:tcW w:w="3399"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14975" w:type="dxa"/>
            <w:vMerge w:val="continue"/>
            <w:vAlign w:val="center"/>
          </w:tcPr>
          <w:p>
            <w:pPr>
              <w:widowControl/>
              <w:jc w:val="left"/>
              <w:rPr>
                <w:rFonts w:ascii="仿宋_GB2312" w:hAnsi="仿宋" w:eastAsia="仿宋_GB2312" w:cs="Times New Roman"/>
                <w:color w:val="000000"/>
              </w:rPr>
            </w:pPr>
          </w:p>
        </w:tc>
        <w:tc>
          <w:tcPr>
            <w:tcW w:w="1270" w:type="dxa"/>
            <w:vMerge w:val="continue"/>
            <w:vAlign w:val="center"/>
          </w:tcPr>
          <w:p>
            <w:pPr>
              <w:widowControl/>
              <w:jc w:val="left"/>
              <w:rPr>
                <w:rFonts w:ascii="仿宋_GB2312" w:hAnsi="仿宋" w:eastAsia="仿宋_GB2312" w:cs="Times New Roman"/>
                <w:color w:val="000000"/>
              </w:rPr>
            </w:pPr>
          </w:p>
        </w:tc>
        <w:tc>
          <w:tcPr>
            <w:tcW w:w="3550" w:type="dxa"/>
            <w:vMerge w:val="continue"/>
            <w:vAlign w:val="center"/>
          </w:tcPr>
          <w:p>
            <w:pPr>
              <w:widowControl/>
              <w:jc w:val="left"/>
              <w:rPr>
                <w:rFonts w:ascii="仿宋_GB2312" w:hAnsi="仿宋" w:eastAsia="仿宋_GB2312" w:cs="Times New Roman"/>
                <w:color w:val="000000"/>
              </w:rPr>
            </w:pPr>
          </w:p>
        </w:tc>
        <w:tc>
          <w:tcPr>
            <w:tcW w:w="6029" w:type="dxa"/>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3.执行责任：经本烟草专卖行政主管部门负责人批准，采取变卖等处理措施，变卖款上缴国库。</w:t>
            </w:r>
          </w:p>
        </w:tc>
        <w:tc>
          <w:tcPr>
            <w:tcW w:w="3399"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jc w:val="center"/>
        </w:trPr>
        <w:tc>
          <w:tcPr>
            <w:tcW w:w="14975" w:type="dxa"/>
            <w:vMerge w:val="continue"/>
            <w:vAlign w:val="center"/>
          </w:tcPr>
          <w:p>
            <w:pPr>
              <w:widowControl/>
              <w:jc w:val="left"/>
              <w:rPr>
                <w:rFonts w:ascii="仿宋_GB2312" w:hAnsi="仿宋" w:eastAsia="仿宋_GB2312" w:cs="Times New Roman"/>
                <w:color w:val="000000"/>
              </w:rPr>
            </w:pPr>
          </w:p>
        </w:tc>
        <w:tc>
          <w:tcPr>
            <w:tcW w:w="1270" w:type="dxa"/>
            <w:vMerge w:val="continue"/>
            <w:vAlign w:val="center"/>
          </w:tcPr>
          <w:p>
            <w:pPr>
              <w:widowControl/>
              <w:jc w:val="left"/>
              <w:rPr>
                <w:rFonts w:ascii="仿宋_GB2312" w:hAnsi="仿宋" w:eastAsia="仿宋_GB2312" w:cs="Times New Roman"/>
                <w:color w:val="000000"/>
              </w:rPr>
            </w:pPr>
          </w:p>
        </w:tc>
        <w:tc>
          <w:tcPr>
            <w:tcW w:w="3550" w:type="dxa"/>
            <w:vMerge w:val="continue"/>
            <w:vAlign w:val="center"/>
          </w:tcPr>
          <w:p>
            <w:pPr>
              <w:widowControl/>
              <w:jc w:val="left"/>
              <w:rPr>
                <w:rFonts w:ascii="仿宋_GB2312" w:hAnsi="仿宋" w:eastAsia="仿宋_GB2312" w:cs="Times New Roman"/>
                <w:color w:val="000000"/>
              </w:rPr>
            </w:pPr>
          </w:p>
        </w:tc>
        <w:tc>
          <w:tcPr>
            <w:tcW w:w="6029" w:type="dxa"/>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4.事后监管责任：加强对从事烟草专卖经营活动情况监督检查，做好变卖款票据管理。</w:t>
            </w:r>
          </w:p>
        </w:tc>
        <w:tc>
          <w:tcPr>
            <w:tcW w:w="3399"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14975" w:type="dxa"/>
            <w:vMerge w:val="continue"/>
            <w:vAlign w:val="center"/>
          </w:tcPr>
          <w:p>
            <w:pPr>
              <w:widowControl/>
              <w:jc w:val="left"/>
              <w:rPr>
                <w:rFonts w:ascii="仿宋_GB2312" w:hAnsi="仿宋" w:eastAsia="仿宋_GB2312" w:cs="Times New Roman"/>
                <w:color w:val="000000"/>
              </w:rPr>
            </w:pPr>
          </w:p>
        </w:tc>
        <w:tc>
          <w:tcPr>
            <w:tcW w:w="1270" w:type="dxa"/>
            <w:vMerge w:val="continue"/>
            <w:vAlign w:val="center"/>
          </w:tcPr>
          <w:p>
            <w:pPr>
              <w:widowControl/>
              <w:jc w:val="left"/>
              <w:rPr>
                <w:rFonts w:ascii="仿宋_GB2312" w:hAnsi="仿宋" w:eastAsia="仿宋_GB2312" w:cs="Times New Roman"/>
                <w:color w:val="000000"/>
              </w:rPr>
            </w:pPr>
          </w:p>
        </w:tc>
        <w:tc>
          <w:tcPr>
            <w:tcW w:w="3550" w:type="dxa"/>
            <w:vMerge w:val="continue"/>
            <w:vAlign w:val="center"/>
          </w:tcPr>
          <w:p>
            <w:pPr>
              <w:widowControl/>
              <w:jc w:val="left"/>
              <w:rPr>
                <w:rFonts w:ascii="仿宋_GB2312" w:hAnsi="仿宋" w:eastAsia="仿宋_GB2312" w:cs="Times New Roman"/>
                <w:color w:val="000000"/>
              </w:rPr>
            </w:pPr>
          </w:p>
        </w:tc>
        <w:tc>
          <w:tcPr>
            <w:tcW w:w="6029" w:type="dxa"/>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5.法律、法规、规章规定的其他应履行的责任事项。</w:t>
            </w:r>
          </w:p>
        </w:tc>
        <w:tc>
          <w:tcPr>
            <w:tcW w:w="3399"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4975" w:type="dxa"/>
            <w:gridSpan w:val="5"/>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jc w:val="center"/>
        <w:rPr>
          <w:rFonts w:ascii="仿宋" w:hAnsi="仿宋" w:eastAsia="仿宋" w:cs="Times New Roman"/>
          <w:b/>
          <w:color w:val="000000"/>
          <w:sz w:val="32"/>
          <w:szCs w:val="32"/>
        </w:rPr>
      </w:pPr>
      <w:r>
        <w:rPr>
          <w:rFonts w:hint="eastAsia" w:ascii="仿宋" w:hAnsi="仿宋" w:eastAsia="仿宋" w:cs="仿宋_GB2312"/>
          <w:b/>
          <w:color w:val="000000"/>
          <w:sz w:val="32"/>
          <w:szCs w:val="32"/>
        </w:rPr>
        <w:t>（四）行政检查类</w:t>
      </w:r>
    </w:p>
    <w:tbl>
      <w:tblPr>
        <w:tblStyle w:val="7"/>
        <w:tblW w:w="147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816"/>
        <w:gridCol w:w="5000"/>
        <w:gridCol w:w="3999"/>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728"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816"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5001"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4000"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4181"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728" w:type="dxa"/>
            <w:vMerge w:val="restart"/>
            <w:vAlign w:val="center"/>
          </w:tcPr>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检</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查</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816" w:type="dxa"/>
            <w:vMerge w:val="restart"/>
            <w:vAlign w:val="center"/>
          </w:tcPr>
          <w:p>
            <w:pPr>
              <w:spacing w:line="360" w:lineRule="exact"/>
              <w:jc w:val="left"/>
              <w:rPr>
                <w:rFonts w:ascii="仿宋_GB2312" w:hAnsi="仿宋" w:eastAsia="仿宋_GB2312" w:cs="Times New Roman"/>
                <w:color w:val="000000"/>
              </w:rPr>
            </w:pPr>
            <w:r>
              <w:rPr>
                <w:rFonts w:hint="eastAsia" w:ascii="仿宋_GB2312" w:hAnsi="仿宋" w:eastAsia="仿宋_GB2312" w:cs="仿宋_GB2312"/>
                <w:color w:val="000000"/>
              </w:rPr>
              <w:t>检查经营场所和货物存放地</w:t>
            </w:r>
          </w:p>
        </w:tc>
        <w:tc>
          <w:tcPr>
            <w:tcW w:w="5001" w:type="dxa"/>
            <w:vMerge w:val="restart"/>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《中华人民共和国烟草专卖法实施条例》第四十六条 烟草专卖行政主管部门查处违反《烟草专卖法》和本条例的案件时，可以行使下列职权：（二）检查违法案件当事人的经营场所，依法对违法生产或者经营的烟草专卖品进行处理。</w:t>
            </w:r>
          </w:p>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河南省烟草专卖管理条例》第二十六条烟草专卖行政主管部门在查处违反《专卖法》和本条例的案件时，可以行使下列职权:（二）检查违法案件当事人的生产经营场所、货物存放地及运输的货物，对其中违法的烟草专卖品依法进行处理。</w:t>
            </w:r>
          </w:p>
          <w:p>
            <w:pPr>
              <w:spacing w:line="360" w:lineRule="exact"/>
              <w:rPr>
                <w:rFonts w:ascii="仿宋_GB2312" w:hAnsi="仿宋" w:eastAsia="仿宋_GB2312" w:cs="Times New Roman"/>
                <w:color w:val="000000"/>
              </w:rPr>
            </w:pPr>
          </w:p>
        </w:tc>
        <w:tc>
          <w:tcPr>
            <w:tcW w:w="4000" w:type="dxa"/>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1.检查责任：烟草专卖行政管理部门的专卖管理人员有权检查案件当事人的经营场所。并定期或者不定期组织市场检查。</w:t>
            </w:r>
          </w:p>
        </w:tc>
        <w:tc>
          <w:tcPr>
            <w:tcW w:w="4181" w:type="dxa"/>
            <w:vMerge w:val="restart"/>
            <w:vAlign w:val="center"/>
          </w:tcPr>
          <w:p>
            <w:pPr>
              <w:spacing w:line="36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36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4726" w:type="dxa"/>
            <w:vMerge w:val="continue"/>
            <w:vAlign w:val="center"/>
          </w:tcPr>
          <w:p>
            <w:pPr>
              <w:widowControl/>
              <w:jc w:val="left"/>
              <w:rPr>
                <w:rFonts w:ascii="仿宋_GB2312" w:hAnsi="仿宋" w:eastAsia="仿宋_GB2312" w:cs="Times New Roman"/>
                <w:color w:val="000000"/>
              </w:rPr>
            </w:pPr>
          </w:p>
        </w:tc>
        <w:tc>
          <w:tcPr>
            <w:tcW w:w="816" w:type="dxa"/>
            <w:vMerge w:val="continue"/>
            <w:vAlign w:val="center"/>
          </w:tcPr>
          <w:p>
            <w:pPr>
              <w:widowControl/>
              <w:jc w:val="left"/>
              <w:rPr>
                <w:rFonts w:ascii="仿宋_GB2312" w:hAnsi="仿宋" w:eastAsia="仿宋_GB2312" w:cs="Times New Roman"/>
                <w:color w:val="000000"/>
              </w:rPr>
            </w:pPr>
          </w:p>
        </w:tc>
        <w:tc>
          <w:tcPr>
            <w:tcW w:w="5001" w:type="dxa"/>
            <w:vMerge w:val="continue"/>
            <w:vAlign w:val="center"/>
          </w:tcPr>
          <w:p>
            <w:pPr>
              <w:widowControl/>
              <w:jc w:val="left"/>
              <w:rPr>
                <w:rFonts w:ascii="仿宋_GB2312" w:hAnsi="仿宋" w:eastAsia="仿宋_GB2312" w:cs="Times New Roman"/>
                <w:color w:val="000000"/>
              </w:rPr>
            </w:pPr>
          </w:p>
        </w:tc>
        <w:tc>
          <w:tcPr>
            <w:tcW w:w="4000" w:type="dxa"/>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2.处置责任：烟草专卖行政主管部门应当在发现违法行为后决定是否立案。对属于烟草专卖行政主管部门管辖的，立案并决定是否行政处罚。属于其他行政机关管辖的，移交其他有权机关处理；涉嫌犯罪的，移送司法机关处理。在证据可能灭失或以后难以取得的情况下，对违法的烟草专卖品予以先行登记保存。</w:t>
            </w:r>
          </w:p>
        </w:tc>
        <w:tc>
          <w:tcPr>
            <w:tcW w:w="418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14726" w:type="dxa"/>
            <w:vMerge w:val="continue"/>
            <w:vAlign w:val="center"/>
          </w:tcPr>
          <w:p>
            <w:pPr>
              <w:widowControl/>
              <w:jc w:val="left"/>
              <w:rPr>
                <w:rFonts w:ascii="仿宋_GB2312" w:hAnsi="仿宋" w:eastAsia="仿宋_GB2312" w:cs="Times New Roman"/>
                <w:color w:val="000000"/>
              </w:rPr>
            </w:pPr>
          </w:p>
        </w:tc>
        <w:tc>
          <w:tcPr>
            <w:tcW w:w="816" w:type="dxa"/>
            <w:vMerge w:val="continue"/>
            <w:vAlign w:val="center"/>
          </w:tcPr>
          <w:p>
            <w:pPr>
              <w:widowControl/>
              <w:jc w:val="left"/>
              <w:rPr>
                <w:rFonts w:ascii="仿宋_GB2312" w:hAnsi="仿宋" w:eastAsia="仿宋_GB2312" w:cs="Times New Roman"/>
                <w:color w:val="000000"/>
              </w:rPr>
            </w:pPr>
          </w:p>
        </w:tc>
        <w:tc>
          <w:tcPr>
            <w:tcW w:w="5001" w:type="dxa"/>
            <w:vMerge w:val="continue"/>
            <w:vAlign w:val="center"/>
          </w:tcPr>
          <w:p>
            <w:pPr>
              <w:widowControl/>
              <w:jc w:val="left"/>
              <w:rPr>
                <w:rFonts w:ascii="仿宋_GB2312" w:hAnsi="仿宋" w:eastAsia="仿宋_GB2312" w:cs="Times New Roman"/>
                <w:color w:val="000000"/>
              </w:rPr>
            </w:pPr>
          </w:p>
        </w:tc>
        <w:tc>
          <w:tcPr>
            <w:tcW w:w="4000" w:type="dxa"/>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3.公开责任：对作出的行政处罚决定依法公开。</w:t>
            </w:r>
          </w:p>
        </w:tc>
        <w:tc>
          <w:tcPr>
            <w:tcW w:w="4181"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4726" w:type="dxa"/>
            <w:gridSpan w:val="5"/>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rPr>
          <w:rFonts w:ascii="仿宋" w:hAnsi="仿宋" w:eastAsia="仿宋" w:cs="Times New Roman"/>
          <w:color w:val="000000"/>
          <w:sz w:val="32"/>
        </w:rPr>
      </w:pPr>
    </w:p>
    <w:p>
      <w:pPr>
        <w:spacing w:line="320" w:lineRule="exact"/>
        <w:rPr>
          <w:rFonts w:ascii="仿宋" w:hAnsi="仿宋" w:eastAsia="仿宋" w:cs="Times New Roman"/>
          <w:color w:val="000000"/>
          <w:sz w:val="32"/>
        </w:rPr>
      </w:pPr>
    </w:p>
    <w:tbl>
      <w:tblPr>
        <w:tblStyle w:val="7"/>
        <w:tblW w:w="14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744"/>
        <w:gridCol w:w="5000"/>
        <w:gridCol w:w="3950"/>
        <w:gridCol w:w="4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718"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744"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4998"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3948"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4418"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718" w:type="dxa"/>
            <w:vMerge w:val="restart"/>
            <w:vAlign w:val="center"/>
          </w:tcPr>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检</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查</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744" w:type="dxa"/>
            <w:vMerge w:val="restart"/>
            <w:vAlign w:val="center"/>
          </w:tcPr>
          <w:p>
            <w:pPr>
              <w:spacing w:line="360" w:lineRule="exact"/>
              <w:jc w:val="left"/>
              <w:rPr>
                <w:rFonts w:ascii="仿宋_GB2312" w:hAnsi="仿宋" w:eastAsia="仿宋_GB2312" w:cs="Times New Roman"/>
                <w:color w:val="000000"/>
              </w:rPr>
            </w:pPr>
            <w:r>
              <w:rPr>
                <w:rFonts w:hint="eastAsia" w:ascii="仿宋_GB2312" w:hAnsi="仿宋" w:eastAsia="仿宋_GB2312" w:cs="仿宋_GB2312"/>
                <w:color w:val="000000"/>
              </w:rPr>
              <w:t>查阅、复制与违法活动有关的资料</w:t>
            </w:r>
          </w:p>
          <w:p>
            <w:pPr>
              <w:spacing w:line="360" w:lineRule="exact"/>
              <w:jc w:val="center"/>
              <w:rPr>
                <w:rFonts w:ascii="仿宋_GB2312" w:hAnsi="仿宋" w:eastAsia="仿宋_GB2312" w:cs="Times New Roman"/>
                <w:color w:val="000000"/>
              </w:rPr>
            </w:pPr>
          </w:p>
        </w:tc>
        <w:tc>
          <w:tcPr>
            <w:tcW w:w="4998" w:type="dxa"/>
            <w:vMerge w:val="restart"/>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《中华人民共和国烟草专卖法实施条例》第四十六条 烟草专卖行政主管部门查处违反《烟草专卖法》和本条例的案件时，可以行使下列职权：（三）查阅、复制与违法活动有关的合同、发票、帐册、单据、记录、文件、业务函电和其他资料。</w:t>
            </w:r>
          </w:p>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河南省烟草专卖管理条例》第二十六条烟草专卖行政主管部门在查处违反《专卖法》和本条例的案件时，可以行使下列职权:（四）查阅、复制与违法案件活动有关的合同、发票、账册、单据、记录、文件、业务函电和其他资料。</w:t>
            </w:r>
          </w:p>
        </w:tc>
        <w:tc>
          <w:tcPr>
            <w:tcW w:w="3948" w:type="dxa"/>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1.检查责任：烟草专卖行政管理部门的专卖管理人员有权查阅、复制与违法活动有关的合同、发票、帐册、单据、记录、文件、业务函电和其他资料。</w:t>
            </w:r>
          </w:p>
        </w:tc>
        <w:tc>
          <w:tcPr>
            <w:tcW w:w="4418" w:type="dxa"/>
            <w:vMerge w:val="restart"/>
            <w:vAlign w:val="center"/>
          </w:tcPr>
          <w:p>
            <w:pPr>
              <w:spacing w:line="36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360" w:lineRule="exact"/>
              <w:jc w:val="lef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jc w:val="center"/>
        </w:trPr>
        <w:tc>
          <w:tcPr>
            <w:tcW w:w="14826" w:type="dxa"/>
            <w:vMerge w:val="continue"/>
            <w:vAlign w:val="center"/>
          </w:tcPr>
          <w:p>
            <w:pPr>
              <w:widowControl/>
              <w:jc w:val="left"/>
              <w:rPr>
                <w:rFonts w:ascii="仿宋_GB2312" w:hAnsi="仿宋" w:eastAsia="仿宋_GB2312" w:cs="Times New Roman"/>
                <w:color w:val="000000"/>
              </w:rPr>
            </w:pPr>
          </w:p>
        </w:tc>
        <w:tc>
          <w:tcPr>
            <w:tcW w:w="744" w:type="dxa"/>
            <w:vMerge w:val="continue"/>
            <w:vAlign w:val="center"/>
          </w:tcPr>
          <w:p>
            <w:pPr>
              <w:widowControl/>
              <w:jc w:val="left"/>
              <w:rPr>
                <w:rFonts w:ascii="仿宋_GB2312" w:hAnsi="仿宋" w:eastAsia="仿宋_GB2312" w:cs="Times New Roman"/>
                <w:color w:val="000000"/>
              </w:rPr>
            </w:pPr>
          </w:p>
        </w:tc>
        <w:tc>
          <w:tcPr>
            <w:tcW w:w="4998" w:type="dxa"/>
            <w:vMerge w:val="continue"/>
            <w:vAlign w:val="center"/>
          </w:tcPr>
          <w:p>
            <w:pPr>
              <w:widowControl/>
              <w:jc w:val="left"/>
              <w:rPr>
                <w:rFonts w:ascii="仿宋_GB2312" w:hAnsi="仿宋" w:eastAsia="仿宋_GB2312" w:cs="Times New Roman"/>
                <w:color w:val="000000"/>
              </w:rPr>
            </w:pPr>
          </w:p>
        </w:tc>
        <w:tc>
          <w:tcPr>
            <w:tcW w:w="3948" w:type="dxa"/>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2.处置责任：烟草专卖行政主管部门的专卖管理人员根据查阅、复制的相关资料，结合其他证据，形成调查终结报告。</w:t>
            </w:r>
          </w:p>
        </w:tc>
        <w:tc>
          <w:tcPr>
            <w:tcW w:w="441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jc w:val="center"/>
        </w:trPr>
        <w:tc>
          <w:tcPr>
            <w:tcW w:w="14826" w:type="dxa"/>
            <w:vMerge w:val="continue"/>
            <w:vAlign w:val="center"/>
          </w:tcPr>
          <w:p>
            <w:pPr>
              <w:widowControl/>
              <w:jc w:val="left"/>
              <w:rPr>
                <w:rFonts w:ascii="仿宋_GB2312" w:hAnsi="仿宋" w:eastAsia="仿宋_GB2312" w:cs="Times New Roman"/>
                <w:color w:val="000000"/>
              </w:rPr>
            </w:pPr>
          </w:p>
        </w:tc>
        <w:tc>
          <w:tcPr>
            <w:tcW w:w="744" w:type="dxa"/>
            <w:vMerge w:val="continue"/>
            <w:vAlign w:val="center"/>
          </w:tcPr>
          <w:p>
            <w:pPr>
              <w:widowControl/>
              <w:jc w:val="left"/>
              <w:rPr>
                <w:rFonts w:ascii="仿宋_GB2312" w:hAnsi="仿宋" w:eastAsia="仿宋_GB2312" w:cs="Times New Roman"/>
                <w:color w:val="000000"/>
              </w:rPr>
            </w:pPr>
          </w:p>
        </w:tc>
        <w:tc>
          <w:tcPr>
            <w:tcW w:w="4998" w:type="dxa"/>
            <w:vMerge w:val="continue"/>
            <w:vAlign w:val="center"/>
          </w:tcPr>
          <w:p>
            <w:pPr>
              <w:widowControl/>
              <w:jc w:val="left"/>
              <w:rPr>
                <w:rFonts w:ascii="仿宋_GB2312" w:hAnsi="仿宋" w:eastAsia="仿宋_GB2312" w:cs="Times New Roman"/>
                <w:color w:val="000000"/>
              </w:rPr>
            </w:pPr>
          </w:p>
        </w:tc>
        <w:tc>
          <w:tcPr>
            <w:tcW w:w="3948" w:type="dxa"/>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3.公开责任：对作出的行政处罚决定依法公开。</w:t>
            </w:r>
          </w:p>
        </w:tc>
        <w:tc>
          <w:tcPr>
            <w:tcW w:w="441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4826" w:type="dxa"/>
            <w:gridSpan w:val="5"/>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20" w:lineRule="exact"/>
        <w:rPr>
          <w:rFonts w:ascii="仿宋" w:hAnsi="仿宋" w:eastAsia="仿宋" w:cs="Times New Roman"/>
          <w:color w:val="000000"/>
          <w:sz w:val="32"/>
        </w:rPr>
      </w:pPr>
    </w:p>
    <w:p>
      <w:pPr>
        <w:spacing w:line="320" w:lineRule="exact"/>
        <w:rPr>
          <w:rFonts w:ascii="仿宋" w:hAnsi="仿宋" w:eastAsia="仿宋" w:cs="Times New Roman"/>
          <w:color w:val="000000"/>
          <w:sz w:val="32"/>
        </w:rPr>
      </w:pPr>
    </w:p>
    <w:tbl>
      <w:tblPr>
        <w:tblStyle w:val="7"/>
        <w:tblW w:w="14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56"/>
        <w:gridCol w:w="5016"/>
        <w:gridCol w:w="3899"/>
        <w:gridCol w:w="4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709"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w:t>
            </w:r>
          </w:p>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类别</w:t>
            </w:r>
          </w:p>
        </w:tc>
        <w:tc>
          <w:tcPr>
            <w:tcW w:w="656"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职权名称</w:t>
            </w:r>
          </w:p>
        </w:tc>
        <w:tc>
          <w:tcPr>
            <w:tcW w:w="5016"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实施依据</w:t>
            </w:r>
          </w:p>
        </w:tc>
        <w:tc>
          <w:tcPr>
            <w:tcW w:w="3899"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责任事项</w:t>
            </w:r>
          </w:p>
        </w:tc>
        <w:tc>
          <w:tcPr>
            <w:tcW w:w="4348" w:type="dxa"/>
            <w:vAlign w:val="center"/>
          </w:tcPr>
          <w:p>
            <w:pPr>
              <w:spacing w:line="360" w:lineRule="exact"/>
              <w:jc w:val="center"/>
              <w:rPr>
                <w:rFonts w:ascii="仿宋_GB2312" w:hAnsi="仿宋" w:eastAsia="仿宋_GB2312" w:cs="Times New Roman"/>
                <w:b/>
                <w:bCs/>
                <w:color w:val="000000"/>
              </w:rPr>
            </w:pPr>
            <w:r>
              <w:rPr>
                <w:rFonts w:hint="eastAsia" w:ascii="仿宋_GB2312" w:hAnsi="仿宋" w:eastAsia="仿宋_GB2312" w:cs="仿宋_GB2312"/>
                <w:b/>
                <w:bCs/>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jc w:val="center"/>
        </w:trPr>
        <w:tc>
          <w:tcPr>
            <w:tcW w:w="709" w:type="dxa"/>
            <w:vMerge w:val="restart"/>
            <w:vAlign w:val="center"/>
          </w:tcPr>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行</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政</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检</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查</w:t>
            </w:r>
          </w:p>
          <w:p>
            <w:pPr>
              <w:spacing w:line="360" w:lineRule="exact"/>
              <w:jc w:val="center"/>
              <w:rPr>
                <w:rFonts w:ascii="仿宋_GB2312" w:hAnsi="仿宋" w:eastAsia="仿宋_GB2312" w:cs="Times New Roman"/>
                <w:color w:val="000000"/>
              </w:rPr>
            </w:pPr>
            <w:r>
              <w:rPr>
                <w:rFonts w:hint="eastAsia" w:ascii="仿宋_GB2312" w:hAnsi="仿宋" w:eastAsia="仿宋_GB2312" w:cs="仿宋_GB2312"/>
                <w:color w:val="000000"/>
              </w:rPr>
              <w:t>类</w:t>
            </w:r>
          </w:p>
        </w:tc>
        <w:tc>
          <w:tcPr>
            <w:tcW w:w="656" w:type="dxa"/>
            <w:vMerge w:val="restart"/>
            <w:vAlign w:val="center"/>
          </w:tcPr>
          <w:p>
            <w:pPr>
              <w:spacing w:line="360" w:lineRule="exact"/>
              <w:jc w:val="left"/>
              <w:rPr>
                <w:rFonts w:ascii="仿宋_GB2312" w:hAnsi="仿宋" w:eastAsia="仿宋_GB2312" w:cs="Times New Roman"/>
                <w:color w:val="000000"/>
              </w:rPr>
            </w:pPr>
            <w:r>
              <w:rPr>
                <w:rFonts w:hint="eastAsia" w:ascii="仿宋_GB2312" w:hAnsi="仿宋" w:eastAsia="仿宋_GB2312" w:cs="仿宋_GB2312"/>
                <w:color w:val="000000"/>
              </w:rPr>
              <w:t>检查非法运输烟草专卖品的活动</w:t>
            </w:r>
          </w:p>
          <w:p>
            <w:pPr>
              <w:spacing w:line="360" w:lineRule="exact"/>
              <w:jc w:val="center"/>
              <w:rPr>
                <w:rFonts w:ascii="仿宋_GB2312" w:hAnsi="仿宋" w:eastAsia="仿宋_GB2312" w:cs="Times New Roman"/>
                <w:color w:val="000000"/>
              </w:rPr>
            </w:pPr>
          </w:p>
        </w:tc>
        <w:tc>
          <w:tcPr>
            <w:tcW w:w="5016" w:type="dxa"/>
            <w:vMerge w:val="restart"/>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《中华人民共和国烟草专卖法实施条例》第四十七条  烟草专卖行政主管部门或者烟草专卖行政主管部门会同有关部门，可以依法对非法运输烟草专卖品的活动进行检查、处理。</w:t>
            </w:r>
          </w:p>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河南省烟草专卖管理条例》第二十六条烟草专卖行政主管部门在查处违反《专卖法》和本条例的案件时，可以行使下列职权:（二）检查违法案件当事人的生产经营场所、货物存放地及运输的货物，对其中违法的烟草专卖品依法进行处理。</w:t>
            </w:r>
          </w:p>
          <w:p>
            <w:pPr>
              <w:spacing w:line="360" w:lineRule="exact"/>
              <w:rPr>
                <w:rFonts w:ascii="仿宋_GB2312" w:hAnsi="仿宋" w:eastAsia="仿宋_GB2312" w:cs="Times New Roman"/>
                <w:color w:val="000000"/>
              </w:rPr>
            </w:pPr>
          </w:p>
        </w:tc>
        <w:tc>
          <w:tcPr>
            <w:tcW w:w="3899" w:type="dxa"/>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1.检查责任：烟草专卖行政管理部门的专卖管理人员或者会同有关部门，可以依法检查、处理非法运输的烟草专卖品。</w:t>
            </w:r>
          </w:p>
        </w:tc>
        <w:tc>
          <w:tcPr>
            <w:tcW w:w="4348" w:type="dxa"/>
            <w:vMerge w:val="restart"/>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行政机关未履行法定职责或者违法行使职权的，由上级行政机关责令改正或者限期改正，给予通报批评、取消评先评优资格等处理；符合法定情形的，依法承担行政赔偿责任。</w:t>
            </w:r>
          </w:p>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行政执法人员未履行职责或者违法行使职权，情节轻微的，由本机关或者上级机关诫勉谈话、批评教育、责令写出书面检查、通报批评或者离岗培训、收回《中华人民共和国行政执法证》、调离执法岗位或者取消执法资格等处理;情节较重的，依法给予行政处分；涉嫌犯罪的，移送司法机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jc w:val="center"/>
        </w:trPr>
        <w:tc>
          <w:tcPr>
            <w:tcW w:w="709" w:type="dxa"/>
            <w:vMerge w:val="continue"/>
            <w:vAlign w:val="center"/>
          </w:tcPr>
          <w:p>
            <w:pPr>
              <w:widowControl/>
              <w:jc w:val="left"/>
              <w:rPr>
                <w:rFonts w:ascii="仿宋_GB2312" w:hAnsi="仿宋" w:eastAsia="仿宋_GB2312" w:cs="Times New Roman"/>
                <w:color w:val="000000"/>
              </w:rPr>
            </w:pPr>
          </w:p>
        </w:tc>
        <w:tc>
          <w:tcPr>
            <w:tcW w:w="656" w:type="dxa"/>
            <w:vMerge w:val="continue"/>
            <w:vAlign w:val="center"/>
          </w:tcPr>
          <w:p>
            <w:pPr>
              <w:widowControl/>
              <w:jc w:val="left"/>
              <w:rPr>
                <w:rFonts w:ascii="仿宋_GB2312" w:hAnsi="仿宋" w:eastAsia="仿宋_GB2312" w:cs="Times New Roman"/>
                <w:color w:val="000000"/>
              </w:rPr>
            </w:pPr>
          </w:p>
        </w:tc>
        <w:tc>
          <w:tcPr>
            <w:tcW w:w="5016" w:type="dxa"/>
            <w:vMerge w:val="continue"/>
            <w:vAlign w:val="center"/>
          </w:tcPr>
          <w:p>
            <w:pPr>
              <w:widowControl/>
              <w:jc w:val="left"/>
              <w:rPr>
                <w:rFonts w:ascii="仿宋_GB2312" w:hAnsi="仿宋" w:eastAsia="仿宋_GB2312" w:cs="Times New Roman"/>
                <w:color w:val="000000"/>
              </w:rPr>
            </w:pPr>
          </w:p>
        </w:tc>
        <w:tc>
          <w:tcPr>
            <w:tcW w:w="3899" w:type="dxa"/>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2.处置责任：烟草专卖行政主管部门应当在发现违法行为后决定是否立案。对属于烟草专卖行政主管部门管辖的，立案并决定是否行政处罚。属于其他行政机关管辖的，移交其他有权机关处理；涉嫌犯罪的，移送司法机关处理。在证据可能灭失或以后难以取得的情况下，对非法运输的烟草专卖品予以先行登记保存。</w:t>
            </w:r>
          </w:p>
        </w:tc>
        <w:tc>
          <w:tcPr>
            <w:tcW w:w="434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709" w:type="dxa"/>
            <w:vMerge w:val="continue"/>
            <w:vAlign w:val="center"/>
          </w:tcPr>
          <w:p>
            <w:pPr>
              <w:widowControl/>
              <w:jc w:val="left"/>
              <w:rPr>
                <w:rFonts w:ascii="仿宋_GB2312" w:hAnsi="仿宋" w:eastAsia="仿宋_GB2312" w:cs="Times New Roman"/>
                <w:color w:val="000000"/>
              </w:rPr>
            </w:pPr>
          </w:p>
        </w:tc>
        <w:tc>
          <w:tcPr>
            <w:tcW w:w="656" w:type="dxa"/>
            <w:vMerge w:val="continue"/>
            <w:vAlign w:val="center"/>
          </w:tcPr>
          <w:p>
            <w:pPr>
              <w:widowControl/>
              <w:jc w:val="left"/>
              <w:rPr>
                <w:rFonts w:ascii="仿宋_GB2312" w:hAnsi="仿宋" w:eastAsia="仿宋_GB2312" w:cs="Times New Roman"/>
                <w:color w:val="000000"/>
              </w:rPr>
            </w:pPr>
          </w:p>
        </w:tc>
        <w:tc>
          <w:tcPr>
            <w:tcW w:w="5016" w:type="dxa"/>
            <w:vMerge w:val="continue"/>
            <w:vAlign w:val="center"/>
          </w:tcPr>
          <w:p>
            <w:pPr>
              <w:widowControl/>
              <w:jc w:val="left"/>
              <w:rPr>
                <w:rFonts w:ascii="仿宋_GB2312" w:hAnsi="仿宋" w:eastAsia="仿宋_GB2312" w:cs="Times New Roman"/>
                <w:color w:val="000000"/>
              </w:rPr>
            </w:pPr>
          </w:p>
        </w:tc>
        <w:tc>
          <w:tcPr>
            <w:tcW w:w="3899" w:type="dxa"/>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3.公开责任：对作出的行政处罚决定依法公开。</w:t>
            </w:r>
          </w:p>
        </w:tc>
        <w:tc>
          <w:tcPr>
            <w:tcW w:w="4348" w:type="dxa"/>
            <w:vMerge w:val="continue"/>
            <w:vAlign w:val="center"/>
          </w:tcPr>
          <w:p>
            <w:pPr>
              <w:widowControl/>
              <w:jc w:val="left"/>
              <w:rPr>
                <w:rFonts w:ascii="仿宋_GB2312" w:hAnsi="仿宋" w:eastAsia="仿宋_GB2312"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628" w:type="dxa"/>
            <w:gridSpan w:val="5"/>
            <w:vAlign w:val="center"/>
          </w:tcPr>
          <w:p>
            <w:pPr>
              <w:spacing w:line="360" w:lineRule="exact"/>
              <w:rPr>
                <w:rFonts w:ascii="仿宋_GB2312" w:hAnsi="仿宋" w:eastAsia="仿宋_GB2312" w:cs="Times New Roman"/>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jc w:val="center"/>
        <w:rPr>
          <w:rFonts w:ascii="仿宋" w:hAnsi="仿宋" w:eastAsia="仿宋" w:cs="宋体"/>
          <w:b/>
          <w:bCs/>
          <w:color w:val="000000"/>
          <w:sz w:val="32"/>
          <w:szCs w:val="32"/>
        </w:rPr>
      </w:pPr>
    </w:p>
    <w:p>
      <w:pPr>
        <w:jc w:val="center"/>
        <w:rPr>
          <w:rFonts w:ascii="仿宋" w:hAnsi="仿宋" w:eastAsia="仿宋" w:cs="仿宋"/>
          <w:b/>
          <w:color w:val="000000"/>
          <w:sz w:val="32"/>
          <w:szCs w:val="32"/>
        </w:rPr>
      </w:pPr>
      <w:r>
        <w:rPr>
          <w:rFonts w:hint="eastAsia" w:ascii="仿宋" w:hAnsi="仿宋" w:eastAsia="仿宋" w:cs="宋体"/>
          <w:b/>
          <w:bCs/>
          <w:color w:val="000000"/>
          <w:sz w:val="32"/>
          <w:szCs w:val="32"/>
        </w:rPr>
        <w:t>（五）行政奖励类</w:t>
      </w:r>
    </w:p>
    <w:tbl>
      <w:tblPr>
        <w:tblStyle w:val="7"/>
        <w:tblW w:w="14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656"/>
        <w:gridCol w:w="4344"/>
        <w:gridCol w:w="3851"/>
        <w:gridCol w:w="5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708"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职权</w:t>
            </w:r>
          </w:p>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类别</w:t>
            </w:r>
          </w:p>
        </w:tc>
        <w:tc>
          <w:tcPr>
            <w:tcW w:w="656"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职权名称</w:t>
            </w:r>
          </w:p>
        </w:tc>
        <w:tc>
          <w:tcPr>
            <w:tcW w:w="4344"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实施依据</w:t>
            </w:r>
          </w:p>
        </w:tc>
        <w:tc>
          <w:tcPr>
            <w:tcW w:w="3851"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责任事项</w:t>
            </w:r>
          </w:p>
        </w:tc>
        <w:tc>
          <w:tcPr>
            <w:tcW w:w="5071"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atLeast"/>
          <w:jc w:val="center"/>
        </w:trPr>
        <w:tc>
          <w:tcPr>
            <w:tcW w:w="708" w:type="dxa"/>
            <w:vMerge w:val="restart"/>
            <w:vAlign w:val="center"/>
          </w:tcPr>
          <w:p>
            <w:pPr>
              <w:spacing w:line="300" w:lineRule="exact"/>
              <w:jc w:val="center"/>
              <w:rPr>
                <w:rFonts w:ascii="仿宋_GB2312" w:hAnsi="仿宋" w:eastAsia="仿宋_GB2312"/>
                <w:color w:val="000000"/>
              </w:rPr>
            </w:pPr>
            <w:r>
              <w:rPr>
                <w:rFonts w:hint="eastAsia" w:ascii="仿宋_GB2312" w:hAnsi="仿宋" w:eastAsia="仿宋_GB2312"/>
                <w:color w:val="000000"/>
              </w:rPr>
              <w:t>行</w:t>
            </w:r>
          </w:p>
          <w:p>
            <w:pPr>
              <w:spacing w:line="300" w:lineRule="exact"/>
              <w:jc w:val="center"/>
              <w:rPr>
                <w:rFonts w:ascii="仿宋_GB2312" w:hAnsi="仿宋" w:eastAsia="仿宋_GB2312"/>
                <w:color w:val="000000"/>
              </w:rPr>
            </w:pPr>
            <w:r>
              <w:rPr>
                <w:rFonts w:hint="eastAsia" w:ascii="仿宋_GB2312" w:hAnsi="仿宋" w:eastAsia="仿宋_GB2312"/>
                <w:color w:val="000000"/>
              </w:rPr>
              <w:t>政</w:t>
            </w:r>
          </w:p>
          <w:p>
            <w:pPr>
              <w:spacing w:line="300" w:lineRule="exact"/>
              <w:jc w:val="center"/>
              <w:rPr>
                <w:rFonts w:ascii="仿宋_GB2312" w:hAnsi="仿宋" w:eastAsia="仿宋_GB2312"/>
                <w:color w:val="000000"/>
              </w:rPr>
            </w:pPr>
            <w:r>
              <w:rPr>
                <w:rFonts w:hint="eastAsia" w:ascii="仿宋_GB2312" w:hAnsi="仿宋" w:eastAsia="仿宋_GB2312"/>
                <w:color w:val="000000"/>
              </w:rPr>
              <w:t>奖</w:t>
            </w:r>
          </w:p>
          <w:p>
            <w:pPr>
              <w:spacing w:line="300" w:lineRule="exact"/>
              <w:jc w:val="center"/>
              <w:rPr>
                <w:rFonts w:ascii="仿宋_GB2312" w:hAnsi="仿宋" w:eastAsia="仿宋_GB2312"/>
                <w:color w:val="000000"/>
              </w:rPr>
            </w:pPr>
            <w:r>
              <w:rPr>
                <w:rFonts w:hint="eastAsia" w:ascii="仿宋_GB2312" w:hAnsi="仿宋" w:eastAsia="仿宋_GB2312"/>
                <w:color w:val="000000"/>
              </w:rPr>
              <w:t>励</w:t>
            </w:r>
          </w:p>
          <w:p>
            <w:pPr>
              <w:spacing w:line="300" w:lineRule="exact"/>
              <w:jc w:val="center"/>
              <w:rPr>
                <w:rFonts w:ascii="仿宋_GB2312" w:hAnsi="仿宋" w:eastAsia="仿宋_GB2312"/>
                <w:color w:val="000000"/>
              </w:rPr>
            </w:pPr>
            <w:r>
              <w:rPr>
                <w:rFonts w:hint="eastAsia" w:ascii="仿宋_GB2312" w:hAnsi="仿宋" w:eastAsia="仿宋_GB2312"/>
                <w:color w:val="000000"/>
              </w:rPr>
              <w:t>类</w:t>
            </w:r>
          </w:p>
        </w:tc>
        <w:tc>
          <w:tcPr>
            <w:tcW w:w="656" w:type="dxa"/>
            <w:vMerge w:val="restart"/>
            <w:vAlign w:val="center"/>
          </w:tcPr>
          <w:p>
            <w:pPr>
              <w:spacing w:line="300" w:lineRule="exact"/>
              <w:jc w:val="center"/>
              <w:rPr>
                <w:rFonts w:ascii="仿宋_GB2312" w:hAnsi="仿宋" w:eastAsia="仿宋_GB2312"/>
                <w:color w:val="000000"/>
              </w:rPr>
            </w:pPr>
            <w:r>
              <w:rPr>
                <w:rFonts w:hint="eastAsia" w:ascii="仿宋_GB2312" w:hAnsi="仿宋" w:eastAsia="仿宋_GB2312"/>
                <w:color w:val="000000"/>
              </w:rPr>
              <w:t>检举烟草专卖违法案件有功单位个人奖励</w:t>
            </w:r>
          </w:p>
        </w:tc>
        <w:tc>
          <w:tcPr>
            <w:tcW w:w="4344" w:type="dxa"/>
            <w:vMerge w:val="restart"/>
            <w:vAlign w:val="center"/>
          </w:tcPr>
          <w:p>
            <w:pPr>
              <w:spacing w:line="300" w:lineRule="exact"/>
              <w:rPr>
                <w:rFonts w:ascii="仿宋_GB2312" w:hAnsi="仿宋" w:eastAsia="仿宋_GB2312"/>
                <w:color w:val="000000"/>
              </w:rPr>
            </w:pPr>
            <w:r>
              <w:rPr>
                <w:rFonts w:hint="eastAsia" w:ascii="仿宋_GB2312" w:hAnsi="仿宋" w:eastAsia="仿宋_GB2312"/>
                <w:color w:val="000000"/>
              </w:rPr>
              <w:t>《中华人民共和国烟草专卖法实施条例》第五十条对检举烟草专卖违法案件的有功单位和个人，给予奖励。</w:t>
            </w:r>
          </w:p>
        </w:tc>
        <w:tc>
          <w:tcPr>
            <w:tcW w:w="3851" w:type="dxa"/>
            <w:vAlign w:val="center"/>
          </w:tcPr>
          <w:p>
            <w:pPr>
              <w:spacing w:line="300" w:lineRule="exact"/>
              <w:rPr>
                <w:rFonts w:ascii="仿宋_GB2312" w:hAnsi="仿宋" w:eastAsia="仿宋_GB2312"/>
                <w:color w:val="000000"/>
              </w:rPr>
            </w:pPr>
            <w:r>
              <w:rPr>
                <w:rFonts w:hint="eastAsia" w:ascii="仿宋_GB2312" w:hAnsi="仿宋" w:eastAsia="仿宋_GB2312"/>
                <w:color w:val="000000"/>
              </w:rPr>
              <w:t>1.奖励责任：对查处涉烟刑事案件有功人员依法给予行政奖励。</w:t>
            </w:r>
          </w:p>
        </w:tc>
        <w:tc>
          <w:tcPr>
            <w:tcW w:w="5071" w:type="dxa"/>
            <w:vMerge w:val="restart"/>
            <w:vAlign w:val="center"/>
          </w:tcPr>
          <w:p>
            <w:pPr>
              <w:spacing w:line="300" w:lineRule="exact"/>
              <w:rPr>
                <w:rFonts w:ascii="仿宋_GB2312" w:hAnsi="仿宋" w:eastAsia="仿宋_GB2312"/>
                <w:color w:val="000000"/>
              </w:rPr>
            </w:pPr>
            <w:r>
              <w:rPr>
                <w:rFonts w:hint="eastAsia" w:ascii="仿宋_GB2312" w:hAnsi="仿宋" w:eastAsia="仿宋_GB2312"/>
                <w:color w:val="000000"/>
              </w:rPr>
              <w:t>不履行或不正确履行职责，有下列情形之一的，由上级烟草专卖局责令改正，对直接负责的主管人员和直接责任人员依法给予行政处分：</w:t>
            </w:r>
          </w:p>
          <w:p>
            <w:pPr>
              <w:spacing w:line="300" w:lineRule="exact"/>
              <w:rPr>
                <w:rFonts w:ascii="仿宋_GB2312" w:hAnsi="仿宋" w:eastAsia="仿宋_GB2312"/>
                <w:color w:val="000000"/>
              </w:rPr>
            </w:pPr>
            <w:r>
              <w:rPr>
                <w:rFonts w:hint="eastAsia" w:ascii="仿宋_GB2312" w:hAnsi="仿宋" w:eastAsia="仿宋_GB2312"/>
                <w:color w:val="000000"/>
              </w:rPr>
              <w:t>1.滥用职权，对不符合奖励条件的单位和个人给予奖励，或对符合奖励条件的单位和个人不予奖励的；</w:t>
            </w:r>
          </w:p>
          <w:p>
            <w:pPr>
              <w:spacing w:line="300" w:lineRule="exact"/>
              <w:rPr>
                <w:rFonts w:ascii="仿宋_GB2312" w:hAnsi="仿宋" w:eastAsia="仿宋_GB2312"/>
                <w:color w:val="000000"/>
              </w:rPr>
            </w:pPr>
            <w:r>
              <w:rPr>
                <w:rFonts w:hint="eastAsia" w:ascii="仿宋_GB2312" w:hAnsi="仿宋" w:eastAsia="仿宋_GB2312"/>
                <w:color w:val="000000"/>
              </w:rPr>
              <w:t>2.徇私舞弊，收受被奖励单位或个人财物、好处的；</w:t>
            </w:r>
          </w:p>
          <w:p>
            <w:pPr>
              <w:spacing w:line="300" w:lineRule="exact"/>
              <w:rPr>
                <w:rFonts w:ascii="仿宋_GB2312" w:hAnsi="仿宋" w:eastAsia="仿宋_GB2312"/>
                <w:color w:val="000000"/>
              </w:rPr>
            </w:pPr>
            <w:r>
              <w:rPr>
                <w:rFonts w:hint="eastAsia" w:ascii="仿宋_GB2312" w:hAnsi="仿宋" w:eastAsia="仿宋_GB2312"/>
                <w:color w:val="000000"/>
              </w:rPr>
              <w:t>3.没有法定依据、违反法定程序实施行政奖励的；</w:t>
            </w:r>
          </w:p>
          <w:p>
            <w:pPr>
              <w:spacing w:line="300" w:lineRule="exact"/>
              <w:rPr>
                <w:rFonts w:ascii="仿宋_GB2312" w:hAnsi="仿宋" w:eastAsia="仿宋_GB2312"/>
                <w:color w:val="000000"/>
              </w:rPr>
            </w:pPr>
            <w:r>
              <w:rPr>
                <w:rFonts w:hint="eastAsia" w:ascii="仿宋_GB2312" w:hAnsi="仿宋" w:eastAsia="仿宋_GB2312"/>
                <w:color w:val="000000"/>
              </w:rPr>
              <w:t>4.其他违反法律法规规章规定实施行政奖励的行为。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708" w:type="dxa"/>
            <w:vMerge w:val="continue"/>
          </w:tcPr>
          <w:p>
            <w:pPr>
              <w:spacing w:line="300" w:lineRule="exact"/>
              <w:rPr>
                <w:rFonts w:ascii="仿宋_GB2312" w:hAnsi="仿宋" w:eastAsia="仿宋_GB2312"/>
                <w:color w:val="000000"/>
              </w:rPr>
            </w:pPr>
          </w:p>
        </w:tc>
        <w:tc>
          <w:tcPr>
            <w:tcW w:w="656" w:type="dxa"/>
            <w:vMerge w:val="continue"/>
          </w:tcPr>
          <w:p>
            <w:pPr>
              <w:spacing w:line="300" w:lineRule="exact"/>
              <w:rPr>
                <w:rFonts w:ascii="仿宋_GB2312" w:hAnsi="仿宋" w:eastAsia="仿宋_GB2312"/>
                <w:color w:val="000000"/>
              </w:rPr>
            </w:pPr>
          </w:p>
        </w:tc>
        <w:tc>
          <w:tcPr>
            <w:tcW w:w="4344" w:type="dxa"/>
            <w:vMerge w:val="continue"/>
          </w:tcPr>
          <w:p>
            <w:pPr>
              <w:spacing w:line="300" w:lineRule="exact"/>
              <w:rPr>
                <w:rFonts w:ascii="仿宋_GB2312" w:hAnsi="仿宋" w:eastAsia="仿宋_GB2312"/>
                <w:color w:val="000000"/>
              </w:rPr>
            </w:pPr>
          </w:p>
        </w:tc>
        <w:tc>
          <w:tcPr>
            <w:tcW w:w="3851" w:type="dxa"/>
            <w:vAlign w:val="center"/>
          </w:tcPr>
          <w:p>
            <w:pPr>
              <w:spacing w:line="300" w:lineRule="exact"/>
              <w:rPr>
                <w:rFonts w:ascii="仿宋_GB2312" w:hAnsi="仿宋" w:eastAsia="仿宋_GB2312"/>
                <w:color w:val="000000"/>
              </w:rPr>
            </w:pPr>
            <w:r>
              <w:rPr>
                <w:rFonts w:hint="eastAsia" w:ascii="仿宋_GB2312" w:hAnsi="仿宋" w:eastAsia="仿宋_GB2312"/>
                <w:color w:val="000000"/>
              </w:rPr>
              <w:t>2.其他法律法规规章应履行责任。</w:t>
            </w:r>
          </w:p>
        </w:tc>
        <w:tc>
          <w:tcPr>
            <w:tcW w:w="5071" w:type="dxa"/>
            <w:vMerge w:val="continue"/>
          </w:tcPr>
          <w:p>
            <w:pPr>
              <w:spacing w:line="300" w:lineRule="exact"/>
              <w:rPr>
                <w:rFonts w:ascii="仿宋_GB2312" w:hAnsi="仿宋"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630" w:type="dxa"/>
            <w:gridSpan w:val="5"/>
            <w:vAlign w:val="center"/>
          </w:tcPr>
          <w:p>
            <w:pPr>
              <w:spacing w:line="300" w:lineRule="exact"/>
              <w:rPr>
                <w:rFonts w:ascii="仿宋_GB2312" w:hAnsi="仿宋" w:eastAsia="仿宋_GB2312"/>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00" w:lineRule="exact"/>
        <w:jc w:val="center"/>
        <w:rPr>
          <w:rFonts w:ascii="仿宋" w:hAnsi="仿宋" w:eastAsia="仿宋" w:cs="宋体"/>
          <w:bCs/>
          <w:color w:val="000000"/>
          <w:sz w:val="32"/>
        </w:rPr>
      </w:pPr>
    </w:p>
    <w:p>
      <w:pPr>
        <w:spacing w:line="300" w:lineRule="exact"/>
        <w:jc w:val="center"/>
        <w:rPr>
          <w:rFonts w:ascii="仿宋" w:hAnsi="仿宋" w:eastAsia="仿宋" w:cs="宋体"/>
          <w:bCs/>
          <w:color w:val="000000"/>
          <w:sz w:val="32"/>
        </w:rPr>
      </w:pPr>
    </w:p>
    <w:p>
      <w:pPr>
        <w:spacing w:line="300" w:lineRule="exact"/>
        <w:jc w:val="center"/>
        <w:rPr>
          <w:rFonts w:ascii="仿宋" w:hAnsi="仿宋" w:eastAsia="仿宋" w:cs="宋体"/>
          <w:bCs/>
          <w:color w:val="000000"/>
          <w:sz w:val="32"/>
        </w:rPr>
      </w:pPr>
    </w:p>
    <w:p>
      <w:pPr>
        <w:spacing w:line="300" w:lineRule="exact"/>
        <w:jc w:val="center"/>
        <w:rPr>
          <w:rFonts w:ascii="仿宋" w:hAnsi="仿宋" w:eastAsia="仿宋" w:cs="宋体"/>
          <w:bCs/>
          <w:color w:val="000000"/>
          <w:sz w:val="32"/>
        </w:rPr>
      </w:pPr>
    </w:p>
    <w:p>
      <w:pPr>
        <w:spacing w:line="300" w:lineRule="exact"/>
        <w:jc w:val="center"/>
        <w:rPr>
          <w:rFonts w:ascii="仿宋" w:hAnsi="仿宋" w:eastAsia="仿宋" w:cs="宋体"/>
          <w:bCs/>
          <w:color w:val="000000"/>
          <w:sz w:val="32"/>
        </w:rPr>
      </w:pPr>
    </w:p>
    <w:p>
      <w:pPr>
        <w:spacing w:line="300" w:lineRule="exact"/>
        <w:jc w:val="center"/>
        <w:rPr>
          <w:rFonts w:ascii="仿宋" w:hAnsi="仿宋" w:eastAsia="仿宋" w:cs="宋体"/>
          <w:bCs/>
          <w:color w:val="000000"/>
          <w:sz w:val="32"/>
        </w:rPr>
      </w:pPr>
    </w:p>
    <w:p>
      <w:pPr>
        <w:jc w:val="center"/>
        <w:rPr>
          <w:rFonts w:ascii="仿宋" w:hAnsi="仿宋" w:eastAsia="仿宋" w:cs="仿宋"/>
          <w:b/>
          <w:color w:val="000000"/>
          <w:sz w:val="32"/>
          <w:szCs w:val="32"/>
        </w:rPr>
      </w:pPr>
      <w:r>
        <w:rPr>
          <w:rFonts w:hint="eastAsia" w:ascii="仿宋" w:hAnsi="仿宋" w:eastAsia="仿宋" w:cs="宋体"/>
          <w:b/>
          <w:bCs/>
          <w:color w:val="000000"/>
          <w:sz w:val="32"/>
          <w:szCs w:val="32"/>
        </w:rPr>
        <w:t>（六）其他行政权利类</w:t>
      </w:r>
    </w:p>
    <w:tbl>
      <w:tblPr>
        <w:tblStyle w:val="7"/>
        <w:tblW w:w="14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849"/>
        <w:gridCol w:w="4151"/>
        <w:gridCol w:w="3851"/>
        <w:gridCol w:w="5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职权</w:t>
            </w:r>
          </w:p>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类别</w:t>
            </w:r>
          </w:p>
        </w:tc>
        <w:tc>
          <w:tcPr>
            <w:tcW w:w="849"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职权名称</w:t>
            </w:r>
          </w:p>
        </w:tc>
        <w:tc>
          <w:tcPr>
            <w:tcW w:w="4151"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实施依据</w:t>
            </w:r>
          </w:p>
        </w:tc>
        <w:tc>
          <w:tcPr>
            <w:tcW w:w="3851"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责任事项</w:t>
            </w:r>
          </w:p>
        </w:tc>
        <w:tc>
          <w:tcPr>
            <w:tcW w:w="5071"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jc w:val="center"/>
        </w:trPr>
        <w:tc>
          <w:tcPr>
            <w:tcW w:w="708" w:type="dxa"/>
            <w:vMerge w:val="restart"/>
            <w:vAlign w:val="center"/>
          </w:tcPr>
          <w:p>
            <w:pPr>
              <w:spacing w:line="300" w:lineRule="exact"/>
              <w:jc w:val="center"/>
              <w:rPr>
                <w:rFonts w:ascii="仿宋_GB2312" w:hAnsi="仿宋" w:eastAsia="仿宋_GB2312"/>
                <w:color w:val="000000"/>
              </w:rPr>
            </w:pPr>
            <w:r>
              <w:rPr>
                <w:rFonts w:hint="eastAsia" w:ascii="仿宋_GB2312" w:hAnsi="仿宋" w:eastAsia="仿宋_GB2312"/>
                <w:color w:val="000000"/>
              </w:rPr>
              <w:t>其</w:t>
            </w:r>
          </w:p>
          <w:p>
            <w:pPr>
              <w:spacing w:line="300" w:lineRule="exact"/>
              <w:jc w:val="center"/>
              <w:rPr>
                <w:rFonts w:ascii="仿宋_GB2312" w:hAnsi="仿宋" w:eastAsia="仿宋_GB2312"/>
                <w:color w:val="000000"/>
              </w:rPr>
            </w:pPr>
            <w:r>
              <w:rPr>
                <w:rFonts w:hint="eastAsia" w:ascii="仿宋_GB2312" w:hAnsi="仿宋" w:eastAsia="仿宋_GB2312"/>
                <w:color w:val="000000"/>
              </w:rPr>
              <w:t>他</w:t>
            </w:r>
          </w:p>
          <w:p>
            <w:pPr>
              <w:spacing w:line="300" w:lineRule="exact"/>
              <w:jc w:val="center"/>
              <w:rPr>
                <w:rFonts w:ascii="仿宋_GB2312" w:hAnsi="仿宋" w:eastAsia="仿宋_GB2312"/>
                <w:color w:val="000000"/>
              </w:rPr>
            </w:pPr>
            <w:r>
              <w:rPr>
                <w:rFonts w:hint="eastAsia" w:ascii="仿宋_GB2312" w:hAnsi="仿宋" w:eastAsia="仿宋_GB2312"/>
                <w:color w:val="000000"/>
              </w:rPr>
              <w:t>行</w:t>
            </w:r>
          </w:p>
          <w:p>
            <w:pPr>
              <w:spacing w:line="300" w:lineRule="exact"/>
              <w:jc w:val="center"/>
              <w:rPr>
                <w:rFonts w:ascii="仿宋_GB2312" w:hAnsi="仿宋" w:eastAsia="仿宋_GB2312"/>
                <w:color w:val="000000"/>
              </w:rPr>
            </w:pPr>
            <w:r>
              <w:rPr>
                <w:rFonts w:hint="eastAsia" w:ascii="仿宋_GB2312" w:hAnsi="仿宋" w:eastAsia="仿宋_GB2312"/>
                <w:color w:val="000000"/>
              </w:rPr>
              <w:t>政</w:t>
            </w:r>
          </w:p>
          <w:p>
            <w:pPr>
              <w:spacing w:line="300" w:lineRule="exact"/>
              <w:jc w:val="center"/>
              <w:rPr>
                <w:rFonts w:ascii="仿宋_GB2312" w:hAnsi="仿宋" w:eastAsia="仿宋_GB2312"/>
                <w:color w:val="000000"/>
              </w:rPr>
            </w:pPr>
            <w:r>
              <w:rPr>
                <w:rFonts w:hint="eastAsia" w:ascii="仿宋_GB2312" w:hAnsi="仿宋" w:eastAsia="仿宋_GB2312"/>
                <w:color w:val="000000"/>
              </w:rPr>
              <w:t>权</w:t>
            </w:r>
          </w:p>
          <w:p>
            <w:pPr>
              <w:spacing w:line="300" w:lineRule="exact"/>
              <w:jc w:val="center"/>
              <w:rPr>
                <w:rFonts w:ascii="仿宋_GB2312" w:hAnsi="仿宋" w:eastAsia="仿宋_GB2312"/>
                <w:color w:val="000000"/>
              </w:rPr>
            </w:pPr>
            <w:r>
              <w:rPr>
                <w:rFonts w:hint="eastAsia" w:ascii="仿宋_GB2312" w:hAnsi="仿宋" w:eastAsia="仿宋_GB2312"/>
                <w:color w:val="000000"/>
              </w:rPr>
              <w:t>利</w:t>
            </w:r>
          </w:p>
          <w:p>
            <w:pPr>
              <w:spacing w:line="300" w:lineRule="exact"/>
              <w:jc w:val="center"/>
              <w:rPr>
                <w:rFonts w:ascii="仿宋_GB2312" w:hAnsi="仿宋" w:eastAsia="仿宋_GB2312"/>
                <w:color w:val="000000"/>
              </w:rPr>
            </w:pPr>
            <w:r>
              <w:rPr>
                <w:rFonts w:hint="eastAsia" w:ascii="仿宋_GB2312" w:hAnsi="仿宋" w:eastAsia="仿宋_GB2312"/>
                <w:color w:val="000000"/>
              </w:rPr>
              <w:t>类</w:t>
            </w:r>
          </w:p>
        </w:tc>
        <w:tc>
          <w:tcPr>
            <w:tcW w:w="849" w:type="dxa"/>
            <w:vMerge w:val="restart"/>
            <w:vAlign w:val="center"/>
          </w:tcPr>
          <w:p>
            <w:pPr>
              <w:spacing w:line="300" w:lineRule="exact"/>
              <w:jc w:val="center"/>
              <w:rPr>
                <w:rFonts w:ascii="仿宋_GB2312" w:hAnsi="仿宋" w:eastAsia="仿宋_GB2312"/>
                <w:color w:val="000000"/>
              </w:rPr>
            </w:pPr>
            <w:r>
              <w:rPr>
                <w:rFonts w:hint="eastAsia" w:ascii="仿宋_GB2312" w:hAnsi="仿宋" w:eastAsia="仿宋_GB2312"/>
                <w:color w:val="000000"/>
              </w:rPr>
              <w:t>对涉嫌非法运输的烟草专卖品及其运输工具进行暂存检查</w:t>
            </w:r>
          </w:p>
        </w:tc>
        <w:tc>
          <w:tcPr>
            <w:tcW w:w="4151" w:type="dxa"/>
            <w:vMerge w:val="restart"/>
            <w:vAlign w:val="center"/>
          </w:tcPr>
          <w:p>
            <w:pPr>
              <w:spacing w:line="300" w:lineRule="exact"/>
              <w:rPr>
                <w:rFonts w:ascii="仿宋_GB2312" w:hAnsi="仿宋" w:eastAsia="仿宋_GB2312"/>
                <w:color w:val="000000"/>
              </w:rPr>
            </w:pPr>
            <w:r>
              <w:rPr>
                <w:rFonts w:hint="eastAsia" w:ascii="仿宋_GB2312" w:hAnsi="仿宋" w:eastAsia="仿宋_GB2312"/>
                <w:color w:val="000000"/>
              </w:rPr>
              <w:t>《中华人民共和国烟草专卖法实施条例》第四十七条：烟草专卖行政主管部门或者烟草专卖行政主管部门会同有关部门，可以依法对非法运输烟草专卖品的活动进行检查、处理。</w:t>
            </w:r>
          </w:p>
          <w:p>
            <w:pPr>
              <w:spacing w:line="300" w:lineRule="exact"/>
              <w:rPr>
                <w:rFonts w:ascii="仿宋_GB2312" w:hAnsi="仿宋" w:eastAsia="仿宋_GB2312"/>
                <w:color w:val="000000"/>
              </w:rPr>
            </w:pPr>
            <w:r>
              <w:rPr>
                <w:rFonts w:hint="eastAsia" w:ascii="仿宋_GB2312" w:hAnsi="仿宋" w:eastAsia="仿宋_GB2312"/>
                <w:color w:val="000000"/>
              </w:rPr>
              <w:t>《烟草专卖品准运证管理办法》第二十六条第（二）项：各级烟草专卖局按照《中华人民共和国烟草专卖法实施条例》第四十七条的规定，在对非法运输烟草专卖品活动进行检查和处理过程中，可以采取下列措施：对涉嫌非法运输的烟草专卖品及其运输工具进行暂存检查，但应当在7个工作日内进行处理。</w:t>
            </w:r>
          </w:p>
        </w:tc>
        <w:tc>
          <w:tcPr>
            <w:tcW w:w="3851" w:type="dxa"/>
            <w:vAlign w:val="center"/>
          </w:tcPr>
          <w:p>
            <w:pPr>
              <w:spacing w:line="300" w:lineRule="exact"/>
              <w:rPr>
                <w:rFonts w:ascii="仿宋_GB2312" w:hAnsi="仿宋" w:eastAsia="仿宋_GB2312"/>
                <w:color w:val="000000"/>
              </w:rPr>
            </w:pPr>
            <w:r>
              <w:rPr>
                <w:rFonts w:hint="eastAsia" w:ascii="仿宋_GB2312" w:hAnsi="仿宋" w:eastAsia="仿宋_GB2312"/>
                <w:color w:val="000000"/>
              </w:rPr>
              <w:t>1.决定阶段责任：对案件调查中已查明的事实和证据等，应当进行记录和核对，当事人涉案的烟草专卖品等符合暂存检查条件的，向主管部门负责人报告并经批准作出暂存检查的决定，送达通知书。</w:t>
            </w:r>
          </w:p>
        </w:tc>
        <w:tc>
          <w:tcPr>
            <w:tcW w:w="5071" w:type="dxa"/>
            <w:vMerge w:val="restart"/>
            <w:vAlign w:val="center"/>
          </w:tcPr>
          <w:p>
            <w:pPr>
              <w:spacing w:line="300" w:lineRule="exact"/>
              <w:rPr>
                <w:rFonts w:ascii="仿宋_GB2312" w:hAnsi="仿宋" w:eastAsia="仿宋_GB2312"/>
                <w:color w:val="000000"/>
              </w:rPr>
            </w:pPr>
            <w:r>
              <w:rPr>
                <w:rFonts w:hint="eastAsia" w:ascii="仿宋_GB2312" w:hAnsi="仿宋" w:eastAsia="仿宋_GB2312"/>
                <w:color w:val="000000"/>
              </w:rPr>
              <w:t>不履行或不正确履行职责，有下列情形之一的，由上级烟草专卖局责令改正，对直接负责的主管人员和直接责任人员依法给予行政处分：</w:t>
            </w:r>
          </w:p>
          <w:p>
            <w:pPr>
              <w:spacing w:line="300" w:lineRule="exact"/>
              <w:rPr>
                <w:rFonts w:ascii="仿宋_GB2312" w:hAnsi="仿宋" w:eastAsia="仿宋_GB2312"/>
                <w:color w:val="000000"/>
              </w:rPr>
            </w:pPr>
            <w:r>
              <w:rPr>
                <w:rFonts w:hint="eastAsia" w:ascii="仿宋_GB2312" w:hAnsi="仿宋" w:eastAsia="仿宋_GB2312"/>
                <w:color w:val="000000"/>
              </w:rPr>
              <w:t>1.没有法定依据的;</w:t>
            </w:r>
          </w:p>
          <w:p>
            <w:pPr>
              <w:spacing w:line="300" w:lineRule="exact"/>
              <w:rPr>
                <w:rFonts w:ascii="仿宋_GB2312" w:hAnsi="仿宋" w:eastAsia="仿宋_GB2312"/>
                <w:color w:val="000000"/>
              </w:rPr>
            </w:pPr>
            <w:r>
              <w:rPr>
                <w:rFonts w:hint="eastAsia" w:ascii="仿宋_GB2312" w:hAnsi="仿宋" w:eastAsia="仿宋_GB2312"/>
                <w:color w:val="000000"/>
              </w:rPr>
              <w:t>2.违反法定的程序的;</w:t>
            </w:r>
          </w:p>
          <w:p>
            <w:pPr>
              <w:spacing w:line="300" w:lineRule="exact"/>
              <w:rPr>
                <w:rFonts w:ascii="仿宋_GB2312" w:hAnsi="仿宋" w:eastAsia="仿宋_GB2312"/>
                <w:color w:val="000000"/>
              </w:rPr>
            </w:pPr>
            <w:r>
              <w:rPr>
                <w:rFonts w:hint="eastAsia" w:ascii="仿宋_GB2312" w:hAnsi="仿宋" w:eastAsia="仿宋_GB2312"/>
                <w:color w:val="000000"/>
              </w:rPr>
              <w:t>3.违法委托其他单位或者个人实施的；</w:t>
            </w:r>
          </w:p>
          <w:p>
            <w:pPr>
              <w:spacing w:line="300" w:lineRule="exact"/>
              <w:rPr>
                <w:rFonts w:ascii="仿宋_GB2312" w:hAnsi="仿宋" w:eastAsia="仿宋_GB2312"/>
                <w:color w:val="000000"/>
              </w:rPr>
            </w:pPr>
            <w:r>
              <w:rPr>
                <w:rFonts w:hint="eastAsia" w:ascii="仿宋_GB2312" w:hAnsi="仿宋" w:eastAsia="仿宋_GB2312"/>
                <w:color w:val="000000"/>
              </w:rPr>
              <w:t>4.截留、私分或者变相私分、变卖运输工具或烟草专卖品的；</w:t>
            </w:r>
          </w:p>
          <w:p>
            <w:pPr>
              <w:spacing w:line="300" w:lineRule="exact"/>
              <w:rPr>
                <w:rFonts w:ascii="仿宋_GB2312" w:hAnsi="仿宋" w:eastAsia="仿宋_GB2312"/>
                <w:color w:val="000000"/>
              </w:rPr>
            </w:pPr>
            <w:r>
              <w:rPr>
                <w:rFonts w:hint="eastAsia" w:ascii="仿宋_GB2312" w:hAnsi="仿宋" w:eastAsia="仿宋_GB2312"/>
                <w:color w:val="000000"/>
              </w:rPr>
              <w:t>5.利用职务上的便利，索取或者收受他人财物的；</w:t>
            </w:r>
          </w:p>
          <w:p>
            <w:pPr>
              <w:spacing w:line="300" w:lineRule="exact"/>
              <w:rPr>
                <w:rFonts w:ascii="仿宋_GB2312" w:hAnsi="仿宋" w:eastAsia="仿宋_GB2312"/>
                <w:color w:val="000000"/>
              </w:rPr>
            </w:pPr>
            <w:r>
              <w:rPr>
                <w:rFonts w:hint="eastAsia" w:ascii="仿宋_GB2312" w:hAnsi="仿宋" w:eastAsia="仿宋_GB2312"/>
                <w:color w:val="000000"/>
              </w:rPr>
              <w:t>6.违法实施暂存检查，给公民人身或者财产造成损害、给法人或者其他组织造成损失的;</w:t>
            </w:r>
          </w:p>
          <w:p>
            <w:pPr>
              <w:spacing w:line="300" w:lineRule="exact"/>
              <w:rPr>
                <w:rFonts w:ascii="仿宋_GB2312" w:hAnsi="仿宋" w:eastAsia="仿宋_GB2312"/>
                <w:color w:val="000000"/>
              </w:rPr>
            </w:pPr>
            <w:r>
              <w:rPr>
                <w:rFonts w:hint="eastAsia" w:ascii="仿宋_GB2312" w:hAnsi="仿宋" w:eastAsia="仿宋_GB2312"/>
                <w:color w:val="000000"/>
              </w:rPr>
              <w:t>7.对应当依法移送司法机关追究刑事责任的案件不移送的；</w:t>
            </w:r>
          </w:p>
          <w:p>
            <w:pPr>
              <w:spacing w:line="300" w:lineRule="exact"/>
              <w:rPr>
                <w:rFonts w:ascii="仿宋_GB2312" w:hAnsi="仿宋" w:eastAsia="仿宋_GB2312"/>
                <w:color w:val="000000"/>
              </w:rPr>
            </w:pPr>
            <w:r>
              <w:rPr>
                <w:rFonts w:hint="eastAsia" w:ascii="仿宋_GB2312" w:hAnsi="仿宋" w:eastAsia="仿宋_GB2312"/>
                <w:color w:val="000000"/>
              </w:rPr>
              <w:t>8.玩忽职守，对应当予以制止和处罚的违法行为不予制止、处罚，致使公共利益或者公民、法人或者其他组织的合法权益受到损害的；</w:t>
            </w:r>
          </w:p>
          <w:p>
            <w:pPr>
              <w:spacing w:line="300" w:lineRule="exact"/>
              <w:rPr>
                <w:rFonts w:ascii="仿宋_GB2312" w:hAnsi="仿宋" w:eastAsia="仿宋_GB2312"/>
                <w:color w:val="000000"/>
              </w:rPr>
            </w:pPr>
            <w:r>
              <w:rPr>
                <w:rFonts w:hint="eastAsia" w:ascii="仿宋_GB2312" w:hAnsi="仿宋" w:eastAsia="仿宋_GB2312"/>
                <w:color w:val="000000"/>
              </w:rPr>
              <w:t>9.其他违反法律法规规章规定的行为。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jc w:val="center"/>
        </w:trPr>
        <w:tc>
          <w:tcPr>
            <w:tcW w:w="708" w:type="dxa"/>
            <w:vMerge w:val="continue"/>
          </w:tcPr>
          <w:p>
            <w:pPr>
              <w:spacing w:line="300" w:lineRule="exact"/>
              <w:rPr>
                <w:rFonts w:ascii="仿宋_GB2312" w:hAnsi="仿宋" w:eastAsia="仿宋_GB2312"/>
                <w:color w:val="000000"/>
              </w:rPr>
            </w:pPr>
          </w:p>
        </w:tc>
        <w:tc>
          <w:tcPr>
            <w:tcW w:w="849" w:type="dxa"/>
            <w:vMerge w:val="continue"/>
          </w:tcPr>
          <w:p>
            <w:pPr>
              <w:spacing w:line="300" w:lineRule="exact"/>
              <w:rPr>
                <w:rFonts w:ascii="仿宋_GB2312" w:hAnsi="仿宋" w:eastAsia="仿宋_GB2312"/>
                <w:color w:val="000000"/>
              </w:rPr>
            </w:pPr>
          </w:p>
        </w:tc>
        <w:tc>
          <w:tcPr>
            <w:tcW w:w="4151" w:type="dxa"/>
            <w:vMerge w:val="continue"/>
          </w:tcPr>
          <w:p>
            <w:pPr>
              <w:spacing w:line="300" w:lineRule="exact"/>
              <w:rPr>
                <w:rFonts w:ascii="仿宋_GB2312" w:hAnsi="仿宋" w:eastAsia="仿宋_GB2312"/>
                <w:color w:val="000000"/>
              </w:rPr>
            </w:pPr>
          </w:p>
        </w:tc>
        <w:tc>
          <w:tcPr>
            <w:tcW w:w="3851" w:type="dxa"/>
            <w:vAlign w:val="center"/>
          </w:tcPr>
          <w:p>
            <w:pPr>
              <w:spacing w:line="300" w:lineRule="exact"/>
              <w:rPr>
                <w:rFonts w:ascii="仿宋_GB2312" w:hAnsi="仿宋" w:eastAsia="仿宋_GB2312"/>
                <w:color w:val="000000"/>
              </w:rPr>
            </w:pPr>
            <w:r>
              <w:rPr>
                <w:rFonts w:hint="eastAsia" w:ascii="仿宋_GB2312" w:hAnsi="仿宋" w:eastAsia="仿宋_GB2312"/>
                <w:color w:val="000000"/>
              </w:rPr>
              <w:t>2.实施阶段责任：实施前须向主管部门负责人报告并经批准；由两名以上烟草专卖行政执法人员实施，出示执法证件，通知当事人到场；当事人不到现场的，邀请见证人到场，由见证人和烟草专卖行政执法人员在现场笔录上签名或盖章。妥善保管暂存检查的烟草专卖品或运输工具等。</w:t>
            </w:r>
          </w:p>
        </w:tc>
        <w:tc>
          <w:tcPr>
            <w:tcW w:w="5071" w:type="dxa"/>
            <w:vMerge w:val="continue"/>
          </w:tcPr>
          <w:p>
            <w:pPr>
              <w:spacing w:line="300" w:lineRule="exact"/>
              <w:rPr>
                <w:rFonts w:ascii="仿宋_GB2312" w:hAnsi="仿宋"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708" w:type="dxa"/>
            <w:vMerge w:val="continue"/>
          </w:tcPr>
          <w:p>
            <w:pPr>
              <w:spacing w:line="300" w:lineRule="exact"/>
              <w:rPr>
                <w:rFonts w:ascii="仿宋_GB2312" w:hAnsi="仿宋" w:eastAsia="仿宋_GB2312"/>
                <w:color w:val="000000"/>
              </w:rPr>
            </w:pPr>
          </w:p>
        </w:tc>
        <w:tc>
          <w:tcPr>
            <w:tcW w:w="849" w:type="dxa"/>
            <w:vMerge w:val="continue"/>
          </w:tcPr>
          <w:p>
            <w:pPr>
              <w:spacing w:line="300" w:lineRule="exact"/>
              <w:rPr>
                <w:rFonts w:ascii="仿宋_GB2312" w:hAnsi="仿宋" w:eastAsia="仿宋_GB2312"/>
                <w:color w:val="000000"/>
              </w:rPr>
            </w:pPr>
          </w:p>
        </w:tc>
        <w:tc>
          <w:tcPr>
            <w:tcW w:w="4151" w:type="dxa"/>
            <w:vMerge w:val="continue"/>
          </w:tcPr>
          <w:p>
            <w:pPr>
              <w:spacing w:line="300" w:lineRule="exact"/>
              <w:rPr>
                <w:rFonts w:ascii="仿宋_GB2312" w:hAnsi="仿宋" w:eastAsia="仿宋_GB2312"/>
                <w:color w:val="000000"/>
              </w:rPr>
            </w:pPr>
          </w:p>
        </w:tc>
        <w:tc>
          <w:tcPr>
            <w:tcW w:w="3851" w:type="dxa"/>
            <w:vAlign w:val="center"/>
          </w:tcPr>
          <w:p>
            <w:pPr>
              <w:spacing w:line="300" w:lineRule="exact"/>
              <w:rPr>
                <w:rFonts w:ascii="仿宋_GB2312" w:hAnsi="仿宋" w:eastAsia="仿宋_GB2312"/>
                <w:color w:val="000000"/>
              </w:rPr>
            </w:pPr>
            <w:r>
              <w:rPr>
                <w:rFonts w:hint="eastAsia" w:ascii="仿宋_GB2312" w:hAnsi="仿宋" w:eastAsia="仿宋_GB2312"/>
                <w:color w:val="000000"/>
              </w:rPr>
              <w:t>3.执行阶段责任：对查实为案件证据或事实的，应当对暂存检查的烟草专卖品或运输工具依法作出处理。</w:t>
            </w:r>
          </w:p>
        </w:tc>
        <w:tc>
          <w:tcPr>
            <w:tcW w:w="5071" w:type="dxa"/>
            <w:vMerge w:val="continue"/>
          </w:tcPr>
          <w:p>
            <w:pPr>
              <w:spacing w:line="300" w:lineRule="exact"/>
              <w:rPr>
                <w:rFonts w:ascii="仿宋_GB2312" w:hAnsi="仿宋"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630" w:type="dxa"/>
            <w:gridSpan w:val="5"/>
            <w:vAlign w:val="center"/>
          </w:tcPr>
          <w:p>
            <w:pPr>
              <w:spacing w:line="300" w:lineRule="exact"/>
              <w:rPr>
                <w:rFonts w:ascii="仿宋_GB2312" w:hAnsi="仿宋" w:eastAsia="仿宋_GB2312"/>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spacing w:line="300" w:lineRule="exact"/>
        <w:rPr>
          <w:rFonts w:ascii="仿宋" w:hAnsi="仿宋" w:eastAsia="仿宋" w:cs="仿宋"/>
          <w:color w:val="000000"/>
          <w:sz w:val="32"/>
        </w:rPr>
      </w:pPr>
    </w:p>
    <w:tbl>
      <w:tblPr>
        <w:tblStyle w:val="7"/>
        <w:tblW w:w="14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72"/>
        <w:gridCol w:w="6827"/>
        <w:gridCol w:w="2486"/>
        <w:gridCol w:w="3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708"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职权</w:t>
            </w:r>
          </w:p>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类别</w:t>
            </w:r>
          </w:p>
        </w:tc>
        <w:tc>
          <w:tcPr>
            <w:tcW w:w="772"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职权</w:t>
            </w:r>
          </w:p>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名称</w:t>
            </w:r>
          </w:p>
        </w:tc>
        <w:tc>
          <w:tcPr>
            <w:tcW w:w="6827"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实施依据</w:t>
            </w:r>
          </w:p>
        </w:tc>
        <w:tc>
          <w:tcPr>
            <w:tcW w:w="2486"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责任事项</w:t>
            </w:r>
          </w:p>
        </w:tc>
        <w:tc>
          <w:tcPr>
            <w:tcW w:w="3837" w:type="dxa"/>
            <w:vAlign w:val="center"/>
          </w:tcPr>
          <w:p>
            <w:pPr>
              <w:spacing w:line="300" w:lineRule="exact"/>
              <w:jc w:val="center"/>
              <w:rPr>
                <w:rFonts w:ascii="仿宋_GB2312" w:hAnsi="仿宋" w:eastAsia="仿宋_GB2312" w:cs="宋体"/>
                <w:b/>
                <w:color w:val="000000"/>
              </w:rPr>
            </w:pPr>
            <w:r>
              <w:rPr>
                <w:rFonts w:hint="eastAsia" w:ascii="仿宋_GB2312" w:hAnsi="仿宋" w:eastAsia="仿宋_GB2312" w:cs="宋体"/>
                <w:b/>
                <w:color w:val="000000"/>
              </w:rPr>
              <w:t>违法责任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6" w:hRule="atLeast"/>
          <w:jc w:val="center"/>
        </w:trPr>
        <w:tc>
          <w:tcPr>
            <w:tcW w:w="708" w:type="dxa"/>
            <w:vAlign w:val="center"/>
          </w:tcPr>
          <w:p>
            <w:pPr>
              <w:spacing w:line="300" w:lineRule="exact"/>
              <w:jc w:val="center"/>
              <w:rPr>
                <w:rFonts w:ascii="仿宋_GB2312" w:hAnsi="仿宋" w:eastAsia="仿宋_GB2312"/>
                <w:color w:val="000000"/>
              </w:rPr>
            </w:pPr>
            <w:r>
              <w:rPr>
                <w:rFonts w:hint="eastAsia" w:ascii="仿宋_GB2312" w:hAnsi="仿宋" w:eastAsia="仿宋_GB2312"/>
                <w:color w:val="000000"/>
              </w:rPr>
              <w:t>其</w:t>
            </w:r>
          </w:p>
          <w:p>
            <w:pPr>
              <w:spacing w:line="300" w:lineRule="exact"/>
              <w:jc w:val="center"/>
              <w:rPr>
                <w:rFonts w:ascii="仿宋_GB2312" w:hAnsi="仿宋" w:eastAsia="仿宋_GB2312"/>
                <w:color w:val="000000"/>
              </w:rPr>
            </w:pPr>
            <w:r>
              <w:rPr>
                <w:rFonts w:hint="eastAsia" w:ascii="仿宋_GB2312" w:hAnsi="仿宋" w:eastAsia="仿宋_GB2312"/>
                <w:color w:val="000000"/>
              </w:rPr>
              <w:t>他</w:t>
            </w:r>
          </w:p>
          <w:p>
            <w:pPr>
              <w:spacing w:line="300" w:lineRule="exact"/>
              <w:jc w:val="center"/>
              <w:rPr>
                <w:rFonts w:ascii="仿宋_GB2312" w:hAnsi="仿宋" w:eastAsia="仿宋_GB2312"/>
                <w:color w:val="000000"/>
              </w:rPr>
            </w:pPr>
            <w:r>
              <w:rPr>
                <w:rFonts w:hint="eastAsia" w:ascii="仿宋_GB2312" w:hAnsi="仿宋" w:eastAsia="仿宋_GB2312"/>
                <w:color w:val="000000"/>
              </w:rPr>
              <w:t>行</w:t>
            </w:r>
          </w:p>
          <w:p>
            <w:pPr>
              <w:spacing w:line="300" w:lineRule="exact"/>
              <w:jc w:val="center"/>
              <w:rPr>
                <w:rFonts w:ascii="仿宋_GB2312" w:hAnsi="仿宋" w:eastAsia="仿宋_GB2312"/>
                <w:color w:val="000000"/>
              </w:rPr>
            </w:pPr>
            <w:r>
              <w:rPr>
                <w:rFonts w:hint="eastAsia" w:ascii="仿宋_GB2312" w:hAnsi="仿宋" w:eastAsia="仿宋_GB2312"/>
                <w:color w:val="000000"/>
              </w:rPr>
              <w:t>政</w:t>
            </w:r>
          </w:p>
          <w:p>
            <w:pPr>
              <w:spacing w:line="300" w:lineRule="exact"/>
              <w:jc w:val="center"/>
              <w:rPr>
                <w:rFonts w:ascii="仿宋_GB2312" w:hAnsi="仿宋" w:eastAsia="仿宋_GB2312"/>
                <w:color w:val="000000"/>
              </w:rPr>
            </w:pPr>
            <w:r>
              <w:rPr>
                <w:rFonts w:hint="eastAsia" w:ascii="仿宋_GB2312" w:hAnsi="仿宋" w:eastAsia="仿宋_GB2312"/>
                <w:color w:val="000000"/>
              </w:rPr>
              <w:t>权</w:t>
            </w:r>
          </w:p>
          <w:p>
            <w:pPr>
              <w:spacing w:line="300" w:lineRule="exact"/>
              <w:jc w:val="center"/>
              <w:rPr>
                <w:rFonts w:ascii="仿宋_GB2312" w:hAnsi="仿宋" w:eastAsia="仿宋_GB2312"/>
                <w:color w:val="000000"/>
              </w:rPr>
            </w:pPr>
            <w:r>
              <w:rPr>
                <w:rFonts w:hint="eastAsia" w:ascii="仿宋_GB2312" w:hAnsi="仿宋" w:eastAsia="仿宋_GB2312"/>
                <w:color w:val="000000"/>
              </w:rPr>
              <w:t>利</w:t>
            </w:r>
          </w:p>
          <w:p>
            <w:pPr>
              <w:spacing w:line="300" w:lineRule="exact"/>
              <w:jc w:val="center"/>
              <w:rPr>
                <w:rFonts w:ascii="仿宋_GB2312" w:hAnsi="仿宋" w:eastAsia="仿宋_GB2312"/>
                <w:color w:val="000000"/>
              </w:rPr>
            </w:pPr>
            <w:r>
              <w:rPr>
                <w:rFonts w:hint="eastAsia" w:ascii="仿宋_GB2312" w:hAnsi="仿宋" w:eastAsia="仿宋_GB2312"/>
                <w:color w:val="000000"/>
              </w:rPr>
              <w:t>类</w:t>
            </w:r>
          </w:p>
        </w:tc>
        <w:tc>
          <w:tcPr>
            <w:tcW w:w="772" w:type="dxa"/>
            <w:vAlign w:val="center"/>
          </w:tcPr>
          <w:p>
            <w:pPr>
              <w:spacing w:line="300" w:lineRule="exact"/>
              <w:jc w:val="center"/>
              <w:rPr>
                <w:rFonts w:ascii="仿宋_GB2312" w:hAnsi="仿宋" w:eastAsia="仿宋_GB2312"/>
                <w:color w:val="000000"/>
              </w:rPr>
            </w:pPr>
            <w:r>
              <w:rPr>
                <w:rFonts w:hint="eastAsia" w:ascii="仿宋_GB2312" w:hAnsi="仿宋" w:eastAsia="仿宋_GB2312"/>
                <w:color w:val="000000"/>
              </w:rPr>
              <w:t>销毁依法查获的非法生产的烟草专卖品、假冒商标烟草制品、霉坏变质的烟草制品</w:t>
            </w:r>
          </w:p>
        </w:tc>
        <w:tc>
          <w:tcPr>
            <w:tcW w:w="6827" w:type="dxa"/>
            <w:vAlign w:val="center"/>
          </w:tcPr>
          <w:p>
            <w:pPr>
              <w:spacing w:line="300" w:lineRule="exact"/>
              <w:rPr>
                <w:rFonts w:ascii="仿宋_GB2312" w:hAnsi="仿宋" w:eastAsia="仿宋_GB2312"/>
                <w:color w:val="000000"/>
              </w:rPr>
            </w:pPr>
            <w:r>
              <w:rPr>
                <w:rFonts w:hint="eastAsia" w:ascii="仿宋_GB2312" w:hAnsi="仿宋" w:eastAsia="仿宋_GB2312"/>
                <w:color w:val="000000"/>
              </w:rPr>
              <w:t>1.《中华人民共和国烟草专卖法实施条例》第三十条：有关部门依法查获的假冒商标烟草制品，应当交由烟草专卖行政主管部门按照国家有关规定公开销毁，禁止以任何方式销售。</w:t>
            </w:r>
          </w:p>
          <w:p>
            <w:pPr>
              <w:spacing w:line="300" w:lineRule="exact"/>
              <w:rPr>
                <w:rFonts w:ascii="仿宋_GB2312" w:hAnsi="仿宋" w:eastAsia="仿宋_GB2312"/>
                <w:color w:val="000000"/>
              </w:rPr>
            </w:pPr>
            <w:r>
              <w:rPr>
                <w:rFonts w:hint="eastAsia" w:ascii="仿宋_GB2312" w:hAnsi="仿宋" w:eastAsia="仿宋_GB2312"/>
                <w:color w:val="000000"/>
              </w:rPr>
              <w:t>2.《中华人民共和国烟草专卖法实施条例》第五十三条：依照《烟草专卖法》第三十条规定处罚的，按照下列规定执行：(一)无烟草专卖生产企业许可证生产烟草制品的，由烟草专卖行政主管部门责令关闭，没收违法所得，处以所生产烟草制品价值一倍以上两倍以下的罚款，并将其违法生产的烟草制品公开销毁；(二)无烟草专卖生产企业许可证生产卷烟纸、滤嘴棒、烟用丝束或者烟草专用机械的，由烟草专卖行政主管部门责令停止生产，没收违法所得，处以违法生产的烟草专卖品价值一倍以上两倍以下的罚款，并将其违法生产的烟草专卖品公开销毁。</w:t>
            </w:r>
          </w:p>
          <w:p>
            <w:pPr>
              <w:spacing w:line="300" w:lineRule="exact"/>
              <w:rPr>
                <w:rFonts w:ascii="仿宋_GB2312" w:hAnsi="仿宋" w:eastAsia="仿宋_GB2312"/>
                <w:color w:val="000000"/>
              </w:rPr>
            </w:pPr>
            <w:r>
              <w:rPr>
                <w:rFonts w:hint="eastAsia" w:ascii="仿宋_GB2312" w:hAnsi="仿宋" w:eastAsia="仿宋_GB2312"/>
                <w:color w:val="000000"/>
              </w:rPr>
              <w:t>3.《中华人民共和国烟草专卖法实施条例》第五十八条：违反本条例第二十五条、第三十八条第一款规定销售非法生产的烟草专卖品的，由烟草专卖行政主管部门责令停止销售，没收违法所得，处以违法销售总额20%以上50%以下的罚款，并将非法销售的烟草专卖品公开销毁。</w:t>
            </w:r>
          </w:p>
          <w:p>
            <w:pPr>
              <w:spacing w:line="300" w:lineRule="exact"/>
              <w:rPr>
                <w:rFonts w:ascii="仿宋_GB2312" w:hAnsi="仿宋" w:eastAsia="仿宋_GB2312"/>
                <w:color w:val="000000"/>
              </w:rPr>
            </w:pPr>
            <w:r>
              <w:rPr>
                <w:rFonts w:hint="eastAsia" w:ascii="仿宋_GB2312" w:hAnsi="仿宋" w:eastAsia="仿宋_GB2312"/>
                <w:color w:val="000000"/>
              </w:rPr>
              <w:t>4.《烟草专卖行政处罚程序规定》第五十九条：依法查获的霉坏变质的烟草制品不得上市流通。烟草专卖行政主管部门采取销毁等处理措施的，应当符合国家有关规定，并经上一级烟草专卖行政主管部门批准。</w:t>
            </w:r>
          </w:p>
        </w:tc>
        <w:tc>
          <w:tcPr>
            <w:tcW w:w="2486" w:type="dxa"/>
            <w:vAlign w:val="center"/>
          </w:tcPr>
          <w:p>
            <w:pPr>
              <w:spacing w:line="300" w:lineRule="exact"/>
              <w:rPr>
                <w:rFonts w:ascii="仿宋_GB2312" w:hAnsi="仿宋" w:eastAsia="仿宋_GB2312"/>
                <w:color w:val="000000"/>
              </w:rPr>
            </w:pPr>
            <w:r>
              <w:rPr>
                <w:rFonts w:hint="eastAsia" w:ascii="仿宋_GB2312" w:hAnsi="仿宋" w:eastAsia="仿宋_GB2312"/>
                <w:color w:val="000000"/>
              </w:rPr>
              <w:t>1.受理责任：按规定接收各方来源的霉坏、变质和假冒商标烟草制品。</w:t>
            </w:r>
          </w:p>
          <w:p>
            <w:pPr>
              <w:spacing w:line="300" w:lineRule="exact"/>
              <w:rPr>
                <w:rFonts w:ascii="仿宋_GB2312" w:hAnsi="仿宋" w:eastAsia="仿宋_GB2312"/>
                <w:color w:val="000000"/>
              </w:rPr>
            </w:pPr>
            <w:r>
              <w:rPr>
                <w:rFonts w:hint="eastAsia" w:ascii="仿宋_GB2312" w:hAnsi="仿宋" w:eastAsia="仿宋_GB2312"/>
                <w:color w:val="000000"/>
              </w:rPr>
              <w:t>2.审查责任：经质量鉴定后，报请统一公开销毁。</w:t>
            </w:r>
          </w:p>
          <w:p>
            <w:pPr>
              <w:spacing w:line="300" w:lineRule="exact"/>
              <w:rPr>
                <w:rFonts w:ascii="仿宋_GB2312" w:hAnsi="仿宋" w:eastAsia="仿宋_GB2312"/>
                <w:color w:val="000000"/>
              </w:rPr>
            </w:pPr>
            <w:r>
              <w:rPr>
                <w:rFonts w:hint="eastAsia" w:ascii="仿宋_GB2312" w:hAnsi="仿宋" w:eastAsia="仿宋_GB2312"/>
                <w:color w:val="000000"/>
              </w:rPr>
              <w:t>3.决定责任：经报请批准，予以公开销毁，并由烟草专卖行政主管部门或者有关行政管理部门监督销毁。</w:t>
            </w:r>
          </w:p>
          <w:p>
            <w:pPr>
              <w:spacing w:line="300" w:lineRule="exact"/>
              <w:rPr>
                <w:rFonts w:ascii="仿宋_GB2312" w:hAnsi="仿宋" w:eastAsia="仿宋_GB2312"/>
                <w:color w:val="000000"/>
              </w:rPr>
            </w:pPr>
            <w:r>
              <w:rPr>
                <w:rFonts w:hint="eastAsia" w:ascii="仿宋_GB2312" w:hAnsi="仿宋" w:eastAsia="仿宋_GB2312"/>
                <w:color w:val="000000"/>
              </w:rPr>
              <w:t>4.送达责任：制作行政处罚决定书、送达文书、质检报告当场或七日内依法定方式送达。</w:t>
            </w:r>
          </w:p>
          <w:p>
            <w:pPr>
              <w:spacing w:line="300" w:lineRule="exact"/>
              <w:rPr>
                <w:rFonts w:ascii="仿宋_GB2312" w:hAnsi="仿宋" w:eastAsia="仿宋_GB2312"/>
                <w:color w:val="000000"/>
              </w:rPr>
            </w:pPr>
            <w:r>
              <w:rPr>
                <w:rFonts w:hint="eastAsia" w:ascii="仿宋_GB2312" w:hAnsi="仿宋" w:eastAsia="仿宋_GB2312"/>
                <w:color w:val="000000"/>
              </w:rPr>
              <w:t>5.事后监督：加强烟草行业的内部监管，监督烟草经营企业和市级局建立公开销毁烟草制品台账和管理规定。</w:t>
            </w:r>
          </w:p>
          <w:p>
            <w:pPr>
              <w:spacing w:line="300" w:lineRule="exact"/>
              <w:rPr>
                <w:rFonts w:ascii="仿宋_GB2312" w:hAnsi="仿宋" w:eastAsia="仿宋_GB2312"/>
                <w:color w:val="000000"/>
              </w:rPr>
            </w:pPr>
            <w:r>
              <w:rPr>
                <w:rFonts w:hint="eastAsia" w:ascii="仿宋_GB2312" w:hAnsi="仿宋" w:eastAsia="仿宋_GB2312"/>
                <w:color w:val="000000"/>
              </w:rPr>
              <w:t>6.法律法规规章规定应当履行的其他责任。</w:t>
            </w:r>
          </w:p>
        </w:tc>
        <w:tc>
          <w:tcPr>
            <w:tcW w:w="3837" w:type="dxa"/>
            <w:vAlign w:val="center"/>
          </w:tcPr>
          <w:p>
            <w:pPr>
              <w:spacing w:line="300" w:lineRule="exact"/>
              <w:rPr>
                <w:rFonts w:ascii="仿宋_GB2312" w:hAnsi="仿宋" w:eastAsia="仿宋_GB2312"/>
                <w:color w:val="000000"/>
              </w:rPr>
            </w:pPr>
            <w:r>
              <w:rPr>
                <w:rFonts w:hint="eastAsia" w:ascii="仿宋_GB2312" w:hAnsi="仿宋" w:eastAsia="仿宋_GB2312"/>
                <w:color w:val="000000"/>
              </w:rPr>
              <w:t>不履行或不正确履行职责，有下列情形之一的，由上级烟草专卖局责令改正，对直接负责的主管人员和直接责任人员依法给予行政处分：</w:t>
            </w:r>
          </w:p>
          <w:p>
            <w:pPr>
              <w:spacing w:line="300" w:lineRule="exact"/>
              <w:rPr>
                <w:rFonts w:ascii="仿宋_GB2312" w:hAnsi="仿宋" w:eastAsia="仿宋_GB2312"/>
                <w:color w:val="000000"/>
              </w:rPr>
            </w:pPr>
            <w:r>
              <w:rPr>
                <w:rFonts w:hint="eastAsia" w:ascii="仿宋_GB2312" w:hAnsi="仿宋" w:eastAsia="仿宋_GB2312"/>
                <w:color w:val="000000"/>
              </w:rPr>
              <w:t>1.没有法定依据的;</w:t>
            </w:r>
          </w:p>
          <w:p>
            <w:pPr>
              <w:spacing w:line="300" w:lineRule="exact"/>
              <w:rPr>
                <w:rFonts w:ascii="仿宋_GB2312" w:hAnsi="仿宋" w:eastAsia="仿宋_GB2312"/>
                <w:color w:val="000000"/>
              </w:rPr>
            </w:pPr>
            <w:r>
              <w:rPr>
                <w:rFonts w:hint="eastAsia" w:ascii="仿宋_GB2312" w:hAnsi="仿宋" w:eastAsia="仿宋_GB2312"/>
                <w:color w:val="000000"/>
              </w:rPr>
              <w:t>2.擅自变更销毁烟草专卖品种类的;</w:t>
            </w:r>
          </w:p>
          <w:p>
            <w:pPr>
              <w:spacing w:line="300" w:lineRule="exact"/>
              <w:rPr>
                <w:rFonts w:ascii="仿宋_GB2312" w:hAnsi="仿宋" w:eastAsia="仿宋_GB2312"/>
                <w:color w:val="000000"/>
              </w:rPr>
            </w:pPr>
            <w:r>
              <w:rPr>
                <w:rFonts w:hint="eastAsia" w:ascii="仿宋_GB2312" w:hAnsi="仿宋" w:eastAsia="仿宋_GB2312"/>
                <w:color w:val="000000"/>
              </w:rPr>
              <w:t>3.违反法定的程序的;</w:t>
            </w:r>
          </w:p>
          <w:p>
            <w:pPr>
              <w:spacing w:line="300" w:lineRule="exact"/>
              <w:rPr>
                <w:rFonts w:ascii="仿宋_GB2312" w:hAnsi="仿宋" w:eastAsia="仿宋_GB2312"/>
                <w:color w:val="000000"/>
              </w:rPr>
            </w:pPr>
            <w:r>
              <w:rPr>
                <w:rFonts w:hint="eastAsia" w:ascii="仿宋_GB2312" w:hAnsi="仿宋" w:eastAsia="仿宋_GB2312"/>
                <w:color w:val="000000"/>
              </w:rPr>
              <w:t>4.违法委托其他单位或者个人实施的；</w:t>
            </w:r>
          </w:p>
          <w:p>
            <w:pPr>
              <w:spacing w:line="300" w:lineRule="exact"/>
              <w:rPr>
                <w:rFonts w:ascii="仿宋_GB2312" w:hAnsi="仿宋" w:eastAsia="仿宋_GB2312"/>
                <w:color w:val="000000"/>
              </w:rPr>
            </w:pPr>
            <w:r>
              <w:rPr>
                <w:rFonts w:hint="eastAsia" w:ascii="仿宋_GB2312" w:hAnsi="仿宋" w:eastAsia="仿宋_GB2312"/>
                <w:color w:val="000000"/>
              </w:rPr>
              <w:t>5.截留、私分或者变相私分烟草专卖品的；</w:t>
            </w:r>
          </w:p>
          <w:p>
            <w:pPr>
              <w:spacing w:line="300" w:lineRule="exact"/>
              <w:rPr>
                <w:rFonts w:ascii="仿宋_GB2312" w:hAnsi="仿宋" w:eastAsia="仿宋_GB2312"/>
                <w:color w:val="000000"/>
              </w:rPr>
            </w:pPr>
            <w:r>
              <w:rPr>
                <w:rFonts w:hint="eastAsia" w:ascii="仿宋_GB2312" w:hAnsi="仿宋" w:eastAsia="仿宋_GB2312"/>
                <w:color w:val="000000"/>
              </w:rPr>
              <w:t>6.利用职务上的便利，索取或者收受他人财物的；</w:t>
            </w:r>
          </w:p>
          <w:p>
            <w:pPr>
              <w:spacing w:line="300" w:lineRule="exact"/>
              <w:rPr>
                <w:rFonts w:ascii="仿宋_GB2312" w:hAnsi="仿宋" w:eastAsia="仿宋_GB2312"/>
                <w:color w:val="000000"/>
              </w:rPr>
            </w:pPr>
            <w:r>
              <w:rPr>
                <w:rFonts w:hint="eastAsia" w:ascii="仿宋_GB2312" w:hAnsi="仿宋" w:eastAsia="仿宋_GB2312"/>
                <w:color w:val="000000"/>
              </w:rPr>
              <w:t>7.违法实施销毁，给公民人身或者财产造成损害、给法人或者其他组织造成损失的;</w:t>
            </w:r>
          </w:p>
          <w:p>
            <w:pPr>
              <w:spacing w:line="300" w:lineRule="exact"/>
              <w:rPr>
                <w:rFonts w:ascii="仿宋_GB2312" w:hAnsi="仿宋" w:eastAsia="仿宋_GB2312"/>
                <w:color w:val="000000"/>
              </w:rPr>
            </w:pPr>
            <w:r>
              <w:rPr>
                <w:rFonts w:hint="eastAsia" w:ascii="仿宋_GB2312" w:hAnsi="仿宋" w:eastAsia="仿宋_GB2312"/>
                <w:color w:val="000000"/>
              </w:rPr>
              <w:t>8.对应当依法移送司法机关追究刑事责任的案件不移送的；</w:t>
            </w:r>
          </w:p>
          <w:p>
            <w:pPr>
              <w:spacing w:line="300" w:lineRule="exact"/>
              <w:rPr>
                <w:rFonts w:ascii="仿宋_GB2312" w:hAnsi="仿宋" w:eastAsia="仿宋_GB2312"/>
                <w:color w:val="000000"/>
              </w:rPr>
            </w:pPr>
            <w:r>
              <w:rPr>
                <w:rFonts w:hint="eastAsia" w:ascii="仿宋_GB2312" w:hAnsi="仿宋" w:eastAsia="仿宋_GB2312"/>
                <w:color w:val="000000"/>
              </w:rPr>
              <w:t>9.玩忽职守，对应当予以制止和处罚的违法行为不予制止、处罚，致使公共利益或者公民、法人或者其他组织的合法权益受到损害的；</w:t>
            </w:r>
          </w:p>
          <w:p>
            <w:pPr>
              <w:spacing w:line="300" w:lineRule="exact"/>
              <w:rPr>
                <w:rFonts w:ascii="仿宋_GB2312" w:hAnsi="仿宋" w:eastAsia="仿宋_GB2312"/>
                <w:color w:val="000000"/>
              </w:rPr>
            </w:pPr>
            <w:r>
              <w:rPr>
                <w:rFonts w:hint="eastAsia" w:ascii="仿宋_GB2312" w:hAnsi="仿宋" w:eastAsia="仿宋_GB2312"/>
                <w:color w:val="000000"/>
              </w:rPr>
              <w:t>10.其他违反法律法规规章规定的行为。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4630" w:type="dxa"/>
            <w:gridSpan w:val="5"/>
            <w:vAlign w:val="center"/>
          </w:tcPr>
          <w:p>
            <w:pPr>
              <w:spacing w:line="300" w:lineRule="exact"/>
              <w:rPr>
                <w:rFonts w:ascii="仿宋_GB2312" w:hAnsi="仿宋" w:eastAsia="仿宋_GB2312"/>
                <w:color w:val="000000"/>
              </w:rPr>
            </w:pPr>
            <w:r>
              <w:rPr>
                <w:rFonts w:hint="eastAsia" w:ascii="仿宋_GB2312" w:hAnsi="仿宋" w:eastAsia="仿宋_GB2312" w:cs="仿宋_GB2312"/>
                <w:color w:val="000000"/>
              </w:rPr>
              <w:t>服务电话：0376-2129523     投诉机构：罗山县烟草专卖局专卖监督管理科     投诉电话：0376-2129523     服务地点：罗山县龙池大道烟草专卖局</w:t>
            </w:r>
          </w:p>
        </w:tc>
      </w:tr>
    </w:tbl>
    <w:p>
      <w:pPr>
        <w:widowControl/>
        <w:jc w:val="left"/>
        <w:rPr>
          <w:rFonts w:ascii="仿宋" w:hAnsi="仿宋" w:eastAsia="仿宋" w:cs="Times New Roman"/>
          <w:color w:val="000000"/>
          <w:sz w:val="32"/>
          <w:szCs w:val="32"/>
        </w:rPr>
        <w:sectPr>
          <w:pgSz w:w="16838" w:h="11906" w:orient="landscape"/>
          <w:pgMar w:top="1474" w:right="1985" w:bottom="1588" w:left="2098" w:header="851" w:footer="992" w:gutter="0"/>
          <w:cols w:space="720" w:num="1"/>
          <w:docGrid w:linePitch="579" w:charSpace="0"/>
        </w:sectPr>
      </w:pPr>
    </w:p>
    <w:p>
      <w:pPr>
        <w:ind w:firstLine="975"/>
        <w:rPr>
          <w:rFonts w:ascii="仿宋" w:hAnsi="仿宋" w:eastAsia="仿宋" w:cs="Times New Roman"/>
          <w:color w:val="000000"/>
          <w:sz w:val="32"/>
          <w:szCs w:val="32"/>
        </w:rPr>
      </w:pPr>
    </w:p>
    <w:p>
      <w:pPr>
        <w:rPr>
          <w:rFonts w:ascii="仿宋_GB2312" w:hAnsi="仿宋" w:eastAsia="仿宋_GB2312" w:cs="Times New Roman"/>
          <w:color w:val="000000"/>
          <w:sz w:val="32"/>
          <w:szCs w:val="32"/>
        </w:rPr>
      </w:pPr>
      <w:r>
        <w:rPr>
          <w:rFonts w:hint="eastAsia" w:ascii="仿宋" w:hAnsi="仿宋" w:eastAsia="仿宋" w:cs="Times New Roman"/>
          <w:color w:val="000000"/>
          <w:sz w:val="32"/>
          <w:szCs w:val="32"/>
        </w:rPr>
        <w:t xml:space="preserve">    </w:t>
      </w:r>
      <w:r>
        <w:rPr>
          <w:rFonts w:hint="eastAsia" w:ascii="仿宋_GB2312" w:hAnsi="仿宋" w:eastAsia="仿宋_GB2312" w:cs="Times New Roman"/>
          <w:color w:val="000000"/>
          <w:sz w:val="32"/>
          <w:szCs w:val="32"/>
        </w:rPr>
        <w:t>附件：1.罗山县烟草专卖局行政执法岗位责任</w:t>
      </w:r>
    </w:p>
    <w:p>
      <w:pPr>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 xml:space="preserve">          2.2022年罗山县烟草专卖局行政执法流程图</w:t>
      </w:r>
    </w:p>
    <w:p>
      <w:pPr>
        <w:rPr>
          <w:color w:val="000000"/>
        </w:rPr>
      </w:pPr>
    </w:p>
    <w:bookmarkEnd w:id="3"/>
    <w:p>
      <w:pPr>
        <w:rPr>
          <w:rFonts w:ascii="仿宋" w:hAnsi="仿宋" w:eastAsia="仿宋" w:cs="仿宋"/>
          <w:sz w:val="32"/>
          <w:szCs w:val="32"/>
        </w:rPr>
      </w:pPr>
    </w:p>
    <w:p>
      <w:pPr>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p>
    <w:p>
      <w:pPr>
        <w:ind w:firstLine="975"/>
        <w:rPr>
          <w:rFonts w:ascii="仿宋" w:hAnsi="仿宋" w:eastAsia="仿宋" w:cs="Times New Roman"/>
          <w:color w:val="002060"/>
          <w:sz w:val="32"/>
          <w:szCs w:val="32"/>
        </w:rPr>
      </w:pPr>
    </w:p>
    <w:p>
      <w:pPr>
        <w:ind w:firstLine="975"/>
        <w:rPr>
          <w:rFonts w:ascii="仿宋" w:hAnsi="仿宋" w:eastAsia="仿宋" w:cs="Times New Roman"/>
          <w:color w:val="002060"/>
          <w:sz w:val="32"/>
          <w:szCs w:val="32"/>
        </w:rPr>
      </w:pPr>
    </w:p>
    <w:p>
      <w:pPr>
        <w:wordWrap w:val="0"/>
        <w:ind w:firstLine="975"/>
        <w:jc w:val="right"/>
        <w:rPr>
          <w:rFonts w:ascii="仿宋" w:hAnsi="仿宋" w:eastAsia="仿宋" w:cs="Times New Roman"/>
          <w:color w:val="002060"/>
          <w:sz w:val="32"/>
          <w:szCs w:val="32"/>
        </w:rPr>
      </w:pPr>
      <w:r>
        <w:rPr>
          <w:rFonts w:ascii="仿宋" w:hAnsi="仿宋" w:eastAsia="仿宋" w:cs="Times New Roman"/>
          <w:color w:val="002060"/>
          <w:sz w:val="32"/>
          <w:szCs w:val="32"/>
        </w:rPr>
        <w:t xml:space="preserve">  </w:t>
      </w:r>
    </w:p>
    <w:p>
      <w:pPr>
        <w:tabs>
          <w:tab w:val="left" w:pos="567"/>
        </w:tabs>
        <w:ind w:firstLine="632" w:firstLineChars="200"/>
        <w:rPr>
          <w:rFonts w:ascii="仿宋" w:hAnsi="仿宋" w:eastAsia="仿宋" w:cs="Times New Roman"/>
          <w:sz w:val="32"/>
          <w:szCs w:val="32"/>
        </w:rPr>
      </w:pPr>
      <w:bookmarkStart w:id="4" w:name="Fuzhu"/>
      <w:bookmarkEnd w:id="4"/>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tabs>
          <w:tab w:val="left" w:pos="567"/>
        </w:tabs>
        <w:ind w:firstLine="632" w:firstLineChars="200"/>
        <w:rPr>
          <w:rFonts w:ascii="仿宋" w:hAnsi="仿宋" w:eastAsia="仿宋" w:cs="Times New Roman"/>
          <w:sz w:val="32"/>
          <w:szCs w:val="32"/>
        </w:rPr>
      </w:pPr>
    </w:p>
    <w:p>
      <w:pPr>
        <w:pBdr>
          <w:bottom w:val="single" w:color="auto" w:sz="6" w:space="0"/>
          <w:between w:val="single" w:color="auto" w:sz="6" w:space="1"/>
        </w:pBdr>
        <w:spacing w:line="500" w:lineRule="exact"/>
        <w:rPr>
          <w:rFonts w:ascii="黑体" w:eastAsia="黑体" w:cs="Times New Roman"/>
          <w:sz w:val="44"/>
          <w:szCs w:val="44"/>
        </w:rPr>
      </w:pPr>
    </w:p>
    <w:p>
      <w:pPr>
        <w:pBdr>
          <w:top w:val="single" w:color="auto" w:sz="6" w:space="1"/>
          <w:bottom w:val="single" w:color="auto" w:sz="12" w:space="1"/>
          <w:between w:val="single" w:color="auto" w:sz="6" w:space="1"/>
        </w:pBdr>
        <w:spacing w:line="500" w:lineRule="exact"/>
        <w:rPr>
          <w:rFonts w:ascii="黑体" w:eastAsia="黑体" w:cs="Times New Roman"/>
          <w:sz w:val="44"/>
          <w:szCs w:val="44"/>
        </w:rPr>
      </w:pPr>
      <w:bookmarkStart w:id="5" w:name="docend"/>
      <w:r>
        <w:rPr>
          <w:rFonts w:hint="eastAsia" w:ascii="仿宋" w:hAnsi="仿宋" w:eastAsia="仿宋" w:cs="Times New Roman"/>
          <w:color w:val="010000"/>
          <w:sz w:val="28"/>
          <w:szCs w:val="44"/>
        </w:rPr>
        <w:t xml:space="preserve">  罗山县烟草专卖局                  2022年4月22日印发</w:t>
      </w:r>
      <w:bookmarkEnd w:id="5"/>
    </w:p>
    <w:bookmarkEnd w:id="6"/>
    <w:sectPr>
      <w:footerReference r:id="rId3" w:type="default"/>
      <w:pgSz w:w="11906" w:h="16838"/>
      <w:pgMar w:top="2098" w:right="1474" w:bottom="1985" w:left="1588" w:header="851" w:footer="992" w:gutter="0"/>
      <w:cols w:space="0" w:num="1"/>
      <w:rtlGutter w:val="1"/>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page" w:hAnchor="page" w:x="5596" w:y="15301"/>
      <w:tabs>
        <w:tab w:val="center" w:pos="4153"/>
        <w:tab w:val="right" w:pos="8306"/>
      </w:tabs>
      <w:snapToGrid w:val="0"/>
      <w:jc w:val="left"/>
      <w:rPr>
        <w:rFonts w:ascii="宋体" w:hAnsi="宋体" w:eastAsia="仿宋_GB2312" w:cs="Times New Roman"/>
        <w:sz w:val="28"/>
        <w:szCs w:val="28"/>
      </w:rPr>
    </w:pPr>
    <w:r>
      <w:rPr>
        <w:rFonts w:ascii="Times New Roman" w:hAnsi="Times New Roman" w:eastAsia="仿宋_GB2312" w:cs="Times New Roman"/>
        <w:sz w:val="28"/>
        <w:szCs w:val="28"/>
      </w:rPr>
      <w:t xml:space="preserve">–– </w:t>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PAGE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38</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p>
    <w:pPr>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oNotHyphenateCaps/>
  <w:drawingGridHorizontalSpacing w:val="103"/>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F2"/>
    <w:rsid w:val="000014EB"/>
    <w:rsid w:val="00006DE7"/>
    <w:rsid w:val="00016EE0"/>
    <w:rsid w:val="0002719A"/>
    <w:rsid w:val="00027712"/>
    <w:rsid w:val="00033AB2"/>
    <w:rsid w:val="00047478"/>
    <w:rsid w:val="000649AA"/>
    <w:rsid w:val="0008187E"/>
    <w:rsid w:val="00092F98"/>
    <w:rsid w:val="000D1770"/>
    <w:rsid w:val="000D5979"/>
    <w:rsid w:val="000E11E8"/>
    <w:rsid w:val="000F6BDE"/>
    <w:rsid w:val="00147B15"/>
    <w:rsid w:val="001636AB"/>
    <w:rsid w:val="00170035"/>
    <w:rsid w:val="00171DB5"/>
    <w:rsid w:val="00172083"/>
    <w:rsid w:val="00190148"/>
    <w:rsid w:val="001B74BF"/>
    <w:rsid w:val="001F0BD2"/>
    <w:rsid w:val="002247D8"/>
    <w:rsid w:val="00234ED2"/>
    <w:rsid w:val="002366E1"/>
    <w:rsid w:val="00244F6F"/>
    <w:rsid w:val="00245D61"/>
    <w:rsid w:val="00250B6E"/>
    <w:rsid w:val="002B30E2"/>
    <w:rsid w:val="002C30A9"/>
    <w:rsid w:val="002D7F5B"/>
    <w:rsid w:val="002E5B10"/>
    <w:rsid w:val="003175A4"/>
    <w:rsid w:val="003229A2"/>
    <w:rsid w:val="00343E3F"/>
    <w:rsid w:val="00347F48"/>
    <w:rsid w:val="003542B4"/>
    <w:rsid w:val="00373677"/>
    <w:rsid w:val="00381215"/>
    <w:rsid w:val="003C7720"/>
    <w:rsid w:val="00416C15"/>
    <w:rsid w:val="00436FDD"/>
    <w:rsid w:val="00437B20"/>
    <w:rsid w:val="00454984"/>
    <w:rsid w:val="00464DC7"/>
    <w:rsid w:val="00502438"/>
    <w:rsid w:val="00504207"/>
    <w:rsid w:val="00525F22"/>
    <w:rsid w:val="00531A83"/>
    <w:rsid w:val="00543D2B"/>
    <w:rsid w:val="00547A96"/>
    <w:rsid w:val="005935E5"/>
    <w:rsid w:val="005C1CE2"/>
    <w:rsid w:val="00646674"/>
    <w:rsid w:val="006738BC"/>
    <w:rsid w:val="00674D73"/>
    <w:rsid w:val="006775DC"/>
    <w:rsid w:val="0069036E"/>
    <w:rsid w:val="0069783B"/>
    <w:rsid w:val="006E1B59"/>
    <w:rsid w:val="006F701F"/>
    <w:rsid w:val="00734DDA"/>
    <w:rsid w:val="00755BF8"/>
    <w:rsid w:val="00787D52"/>
    <w:rsid w:val="00795931"/>
    <w:rsid w:val="007B12F2"/>
    <w:rsid w:val="007B2421"/>
    <w:rsid w:val="007B4BB2"/>
    <w:rsid w:val="007C1C32"/>
    <w:rsid w:val="007C707C"/>
    <w:rsid w:val="007D576E"/>
    <w:rsid w:val="008028DF"/>
    <w:rsid w:val="00827FD4"/>
    <w:rsid w:val="008943EF"/>
    <w:rsid w:val="008E78BA"/>
    <w:rsid w:val="008F2928"/>
    <w:rsid w:val="00920AD8"/>
    <w:rsid w:val="00921A32"/>
    <w:rsid w:val="0093532B"/>
    <w:rsid w:val="00954259"/>
    <w:rsid w:val="009649EF"/>
    <w:rsid w:val="009C2C34"/>
    <w:rsid w:val="009C480F"/>
    <w:rsid w:val="009D0C09"/>
    <w:rsid w:val="009F21B2"/>
    <w:rsid w:val="00A16890"/>
    <w:rsid w:val="00A51013"/>
    <w:rsid w:val="00A6072C"/>
    <w:rsid w:val="00A61752"/>
    <w:rsid w:val="00A77B03"/>
    <w:rsid w:val="00AA3AFE"/>
    <w:rsid w:val="00AB569B"/>
    <w:rsid w:val="00AB65CC"/>
    <w:rsid w:val="00B82224"/>
    <w:rsid w:val="00B90667"/>
    <w:rsid w:val="00B937EF"/>
    <w:rsid w:val="00BD259A"/>
    <w:rsid w:val="00C1419D"/>
    <w:rsid w:val="00C2113F"/>
    <w:rsid w:val="00C27299"/>
    <w:rsid w:val="00C301F7"/>
    <w:rsid w:val="00C4767B"/>
    <w:rsid w:val="00C566DA"/>
    <w:rsid w:val="00C7104D"/>
    <w:rsid w:val="00C74048"/>
    <w:rsid w:val="00C76C00"/>
    <w:rsid w:val="00C7725A"/>
    <w:rsid w:val="00CA4C3E"/>
    <w:rsid w:val="00CC2C16"/>
    <w:rsid w:val="00CC3506"/>
    <w:rsid w:val="00CD6304"/>
    <w:rsid w:val="00CE4197"/>
    <w:rsid w:val="00CF2D76"/>
    <w:rsid w:val="00D058D6"/>
    <w:rsid w:val="00D40962"/>
    <w:rsid w:val="00D54723"/>
    <w:rsid w:val="00D613EF"/>
    <w:rsid w:val="00D81C84"/>
    <w:rsid w:val="00D909FD"/>
    <w:rsid w:val="00D91E45"/>
    <w:rsid w:val="00D96E3A"/>
    <w:rsid w:val="00DB37A7"/>
    <w:rsid w:val="00DC475E"/>
    <w:rsid w:val="00DF3644"/>
    <w:rsid w:val="00DF592E"/>
    <w:rsid w:val="00E04FA8"/>
    <w:rsid w:val="00E7526E"/>
    <w:rsid w:val="00E91737"/>
    <w:rsid w:val="00E9602B"/>
    <w:rsid w:val="00EB4971"/>
    <w:rsid w:val="00EB54AE"/>
    <w:rsid w:val="00EC6795"/>
    <w:rsid w:val="00EE1AA5"/>
    <w:rsid w:val="00EE6254"/>
    <w:rsid w:val="00EF77B8"/>
    <w:rsid w:val="00F06D92"/>
    <w:rsid w:val="00F41901"/>
    <w:rsid w:val="00F97973"/>
    <w:rsid w:val="00FB478A"/>
    <w:rsid w:val="03365ACF"/>
    <w:rsid w:val="13DC33C2"/>
    <w:rsid w:val="15D3160F"/>
    <w:rsid w:val="16377EF0"/>
    <w:rsid w:val="1D1A6C8A"/>
    <w:rsid w:val="226D2455"/>
    <w:rsid w:val="2C290F75"/>
    <w:rsid w:val="2F960551"/>
    <w:rsid w:val="38BC7581"/>
    <w:rsid w:val="40AC65E2"/>
    <w:rsid w:val="518428E1"/>
    <w:rsid w:val="532A16FA"/>
    <w:rsid w:val="55E20DBC"/>
    <w:rsid w:val="58353806"/>
    <w:rsid w:val="68145AF6"/>
    <w:rsid w:val="7899787D"/>
    <w:rsid w:val="7B751A3F"/>
    <w:rsid w:val="7FCA40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semiHidden="0" w:name="Balloon Text"/>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2"/>
    <w:qFormat/>
    <w:locked/>
    <w:uiPriority w:val="0"/>
    <w:pPr>
      <w:keepNext/>
      <w:keepLines/>
      <w:spacing w:before="260" w:after="260" w:line="415" w:lineRule="auto"/>
      <w:outlineLvl w:val="2"/>
    </w:pPr>
    <w:rPr>
      <w:rFonts w:ascii="Times New Roman" w:hAnsi="Times New Roman" w:cs="Times New Roman"/>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uiPriority w:val="0"/>
    <w:pPr>
      <w:jc w:val="center"/>
    </w:pPr>
    <w:rPr>
      <w:rFonts w:ascii="宋体" w:hAnsi="宋体" w:cs="宋体"/>
      <w:sz w:val="44"/>
      <w:szCs w:val="44"/>
    </w:rPr>
  </w:style>
  <w:style w:type="paragraph" w:styleId="4">
    <w:name w:val="Balloon Text"/>
    <w:basedOn w:val="1"/>
    <w:link w:val="14"/>
    <w:qFormat/>
    <w:uiPriority w:val="0"/>
    <w:rPr>
      <w:rFonts w:ascii="Times New Roman" w:hAnsi="Times New Roman" w:cs="Times New Roman"/>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页脚 Char"/>
    <w:link w:val="5"/>
    <w:qFormat/>
    <w:locked/>
    <w:uiPriority w:val="0"/>
    <w:rPr>
      <w:sz w:val="18"/>
      <w:szCs w:val="18"/>
    </w:rPr>
  </w:style>
  <w:style w:type="character" w:customStyle="1" w:styleId="11">
    <w:name w:val="页眉 Char"/>
    <w:link w:val="6"/>
    <w:qFormat/>
    <w:locked/>
    <w:uiPriority w:val="0"/>
    <w:rPr>
      <w:rFonts w:ascii="Calibri" w:hAnsi="Calibri" w:cs="Calibri"/>
      <w:kern w:val="2"/>
      <w:sz w:val="18"/>
      <w:szCs w:val="18"/>
    </w:rPr>
  </w:style>
  <w:style w:type="character" w:customStyle="1" w:styleId="12">
    <w:name w:val="标题 3 Char"/>
    <w:basedOn w:val="8"/>
    <w:link w:val="2"/>
    <w:qFormat/>
    <w:uiPriority w:val="0"/>
    <w:rPr>
      <w:rFonts w:ascii="Times New Roman" w:hAnsi="Times New Roman"/>
      <w:b/>
      <w:bCs/>
      <w:kern w:val="2"/>
      <w:sz w:val="32"/>
      <w:szCs w:val="32"/>
    </w:rPr>
  </w:style>
  <w:style w:type="character" w:customStyle="1" w:styleId="13">
    <w:name w:val="正文文本 Char"/>
    <w:basedOn w:val="8"/>
    <w:link w:val="3"/>
    <w:qFormat/>
    <w:uiPriority w:val="0"/>
    <w:rPr>
      <w:rFonts w:ascii="宋体" w:hAnsi="宋体" w:cs="宋体"/>
      <w:kern w:val="2"/>
      <w:sz w:val="44"/>
      <w:szCs w:val="44"/>
    </w:rPr>
  </w:style>
  <w:style w:type="character" w:customStyle="1" w:styleId="14">
    <w:name w:val="批注框文本 Char"/>
    <w:basedOn w:val="8"/>
    <w:link w:val="4"/>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Pages>
  <Words>5931</Words>
  <Characters>33813</Characters>
  <Lines>281</Lines>
  <Paragraphs>79</Paragraphs>
  <TotalTime>10</TotalTime>
  <ScaleCrop>false</ScaleCrop>
  <LinksUpToDate>false</LinksUpToDate>
  <CharactersWithSpaces>39665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2020-11-20T03:22:00Z</dcterms:created>
  <dc:creator>王振</dc:creator>
  <cp:lastModifiedBy>Hh</cp:lastModifiedBy>
  <cp:lastPrinted>2013-12-27T03:45:00Z</cp:lastPrinted>
  <dcterms:modified xsi:type="dcterms:W3CDTF">2023-12-25T07:52:08Z</dcterms:modified>
  <dc:title>紧急程度位置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0165E17B62E5419DACD1E68AA1077DA4_13</vt:lpwstr>
  </property>
</Properties>
</file>