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6F" w:rsidRDefault="007B22CE">
      <w:pPr>
        <w:pStyle w:val="a7"/>
        <w:widowControl/>
        <w:spacing w:beforeAutospacing="0" w:afterAutospacing="0"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color w:val="000000"/>
          <w:sz w:val="44"/>
          <w:szCs w:val="44"/>
          <w:shd w:val="clear" w:color="auto" w:fill="FFFFFF"/>
        </w:rPr>
        <w:t>罗山县人民政府办公室</w:t>
      </w:r>
    </w:p>
    <w:p w:rsidR="008B4C6F" w:rsidRDefault="007B22CE">
      <w:pPr>
        <w:pStyle w:val="a7"/>
        <w:widowControl/>
        <w:spacing w:beforeAutospacing="0" w:afterAutospacing="0" w:line="700" w:lineRule="exact"/>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关于进一步加强经济适用住房管理的通知</w:t>
      </w:r>
    </w:p>
    <w:p w:rsidR="008B4C6F" w:rsidRDefault="008B4C6F">
      <w:pPr>
        <w:pStyle w:val="a7"/>
        <w:widowControl/>
        <w:spacing w:beforeAutospacing="0" w:afterAutospacing="0" w:line="420" w:lineRule="atLeast"/>
        <w:rPr>
          <w:rFonts w:ascii="方正小标宋_GBK" w:eastAsia="方正小标宋_GBK" w:hAnsi="方正小标宋_GBK" w:cs="方正小标宋_GBK"/>
          <w:color w:val="000000"/>
          <w:sz w:val="44"/>
          <w:szCs w:val="44"/>
          <w:shd w:val="clear" w:color="auto" w:fill="FFFFFF"/>
        </w:rPr>
      </w:pPr>
    </w:p>
    <w:p w:rsidR="008B4C6F" w:rsidRDefault="007B22CE">
      <w:pPr>
        <w:pStyle w:val="a7"/>
        <w:widowControl/>
        <w:spacing w:beforeAutospacing="0" w:afterAutospacing="0" w:line="580" w:lineRule="exact"/>
        <w:rPr>
          <w:rFonts w:ascii="仿宋_GB2312" w:eastAsia="仿宋_GB2312"/>
          <w:sz w:val="32"/>
          <w:szCs w:val="32"/>
        </w:rPr>
      </w:pPr>
      <w:r>
        <w:rPr>
          <w:rFonts w:ascii="仿宋_GB2312" w:eastAsia="仿宋_GB2312" w:hAnsi="Verdana" w:cs="Verdana" w:hint="eastAsia"/>
          <w:color w:val="000000"/>
          <w:sz w:val="32"/>
          <w:szCs w:val="32"/>
          <w:shd w:val="clear" w:color="auto" w:fill="FFFFFF"/>
        </w:rPr>
        <w:t>各乡、镇人民政府，各街道办事处，县政府各有关部门：</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t>根据《国务院关于解决城市低收入家庭住房困难的若干意见》（国发〔2007〕24号）《关于加强经济适用房管理有关问题的通知》（建保〔2010〕59号）《罗山县经济适用住房管理办法》（罗政〔2010〕31号）等规定，为进一步加强经济适用住房管理，现将有关事项通知如下：</w:t>
      </w:r>
    </w:p>
    <w:p w:rsidR="008B4C6F" w:rsidRDefault="007B22CE">
      <w:pPr>
        <w:spacing w:line="580" w:lineRule="exact"/>
        <w:ind w:firstLineChars="200" w:firstLine="640"/>
        <w:rPr>
          <w:rFonts w:ascii="黑体" w:eastAsia="黑体" w:hAnsi="黑体" w:cs="黑体"/>
          <w:sz w:val="32"/>
          <w:szCs w:val="40"/>
        </w:rPr>
      </w:pPr>
      <w:r>
        <w:rPr>
          <w:rFonts w:ascii="黑体" w:eastAsia="黑体" w:hAnsi="黑体" w:cs="黑体" w:hint="eastAsia"/>
          <w:sz w:val="32"/>
          <w:szCs w:val="40"/>
        </w:rPr>
        <w:t>一、加强交易管理</w:t>
      </w:r>
    </w:p>
    <w:p w:rsidR="008B4C6F" w:rsidRDefault="007B22CE">
      <w:pPr>
        <w:spacing w:line="580" w:lineRule="exact"/>
        <w:ind w:firstLineChars="200" w:firstLine="643"/>
        <w:rPr>
          <w:rFonts w:ascii="仿宋_GB2312" w:eastAsia="仿宋_GB2312"/>
          <w:szCs w:val="32"/>
        </w:rPr>
      </w:pPr>
      <w:r>
        <w:rPr>
          <w:rFonts w:ascii="楷体" w:eastAsia="楷体" w:hAnsi="楷体" w:cs="楷体" w:hint="eastAsia"/>
          <w:b/>
          <w:bCs/>
          <w:sz w:val="32"/>
          <w:szCs w:val="40"/>
        </w:rPr>
        <w:t>（一）经济适用住房上市交易。</w:t>
      </w:r>
      <w:r>
        <w:rPr>
          <w:rFonts w:ascii="仿宋_GB2312" w:eastAsia="仿宋_GB2312" w:hAnsi="仿宋_GB2312" w:cs="仿宋_GB2312" w:hint="eastAsia"/>
          <w:sz w:val="32"/>
          <w:szCs w:val="40"/>
        </w:rPr>
        <w:t>结合不同时期的经济适用住房政策规定，实施差别化的上市交易管理。经济适用住房上市交易时，须由县住房保障机构对政府是否行使优先回购权、购房人差价款缴纳金额出具书面意见。未经出具意见的，县房屋权属登记机构不得办理经济适用住房产权转移和变更登记等有关手续</w:t>
      </w:r>
      <w:r>
        <w:rPr>
          <w:rFonts w:ascii="仿宋_GB2312" w:eastAsia="仿宋_GB2312" w:hAnsi="Verdana" w:cs="Verdana" w:hint="eastAsia"/>
          <w:color w:val="000000"/>
          <w:szCs w:val="32"/>
          <w:shd w:val="clear" w:color="auto" w:fill="FFFFFF"/>
        </w:rPr>
        <w:t>。</w:t>
      </w:r>
    </w:p>
    <w:p w:rsidR="008B4C6F" w:rsidRDefault="007B22CE">
      <w:pPr>
        <w:pStyle w:val="a7"/>
        <w:widowControl/>
        <w:spacing w:beforeAutospacing="0" w:afterAutospacing="0" w:line="580" w:lineRule="exact"/>
        <w:ind w:firstLineChars="200" w:firstLine="643"/>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（二）经济适用住房为有限产权。</w:t>
      </w:r>
      <w:r>
        <w:rPr>
          <w:rFonts w:ascii="仿宋_GB2312" w:eastAsia="仿宋_GB2312" w:hAnsi="Verdana" w:cs="Verdana" w:hint="eastAsia"/>
          <w:color w:val="000000"/>
          <w:sz w:val="32"/>
          <w:szCs w:val="32"/>
          <w:shd w:val="clear" w:color="auto" w:fill="FFFFFF"/>
        </w:rPr>
        <w:t>购房人可以在缴纳土地收益（含土地出让金）等相关价款（以下简称差价款）后，取得完全产权；购买不满5年不得上市交易，购买满5年（以购房发票开具日期为准，下同）上市交易的，购房人应当缴纳差价款。差价款专项用于住房保障资金。</w:t>
      </w:r>
    </w:p>
    <w:p w:rsidR="008B4C6F" w:rsidRDefault="007B22CE">
      <w:pPr>
        <w:pStyle w:val="a7"/>
        <w:widowControl/>
        <w:spacing w:beforeAutospacing="0" w:afterAutospacing="0" w:line="580" w:lineRule="exact"/>
        <w:ind w:firstLineChars="200" w:firstLine="643"/>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（三）差价款缴纳标准</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lastRenderedPageBreak/>
        <w:t>根据《罗山县经济适用住房管理办法》（罗政〔2010〕31号）有关规定购买的经济适用住房，应按照原购房价格的30%缴纳差价款。</w:t>
      </w:r>
    </w:p>
    <w:p w:rsidR="008B4C6F" w:rsidRDefault="007B22CE">
      <w:pPr>
        <w:pStyle w:val="a7"/>
        <w:widowControl/>
        <w:spacing w:beforeAutospacing="0" w:afterAutospacing="0" w:line="580" w:lineRule="exact"/>
        <w:ind w:firstLineChars="200" w:firstLine="643"/>
        <w:jc w:val="both"/>
        <w:rPr>
          <w:rFonts w:ascii="楷体" w:eastAsia="楷体" w:hAnsi="楷体" w:cs="楷体"/>
          <w:b/>
          <w:bCs/>
          <w:sz w:val="32"/>
          <w:szCs w:val="32"/>
        </w:rPr>
      </w:pPr>
      <w:r>
        <w:rPr>
          <w:rFonts w:ascii="楷体" w:eastAsia="楷体" w:hAnsi="楷体" w:cs="楷体" w:hint="eastAsia"/>
          <w:b/>
          <w:bCs/>
          <w:color w:val="000000"/>
          <w:sz w:val="32"/>
          <w:szCs w:val="32"/>
          <w:shd w:val="clear" w:color="auto" w:fill="FFFFFF"/>
        </w:rPr>
        <w:t>（四）差价款缴纳程序</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t>1.购房人向县住房保障机构提出申请，填写《罗山县经济适用住房上市交易审批表》；</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t>2.县住房保障机构根据购房人申请，经审核后出具缴款通知书，注明“补缴的土地价款”；</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t>3.购房人持县住房保障机构开据的票据，通过指定银行缴纳差价款；</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t>4.购房人将银行缴款票据送交县住房保障机构；</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t>5.县住房保障机构将缴款票据归集整理后上报县财政局；</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t>6.购房人持县住房保障机构出具的书面意见、差价款缴纳证明及其他相关资料办理交易手续；</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t>7.注销或变更房屋所有权证，凭缴款票据办理或变更土地证。</w:t>
      </w:r>
    </w:p>
    <w:p w:rsidR="008B4C6F" w:rsidRDefault="007B22CE">
      <w:pPr>
        <w:spacing w:line="580" w:lineRule="exact"/>
        <w:ind w:firstLineChars="200" w:firstLine="643"/>
        <w:rPr>
          <w:rFonts w:ascii="仿宋_GB2312" w:eastAsia="仿宋_GB2312" w:hAnsi="仿宋_GB2312" w:cs="仿宋_GB2312"/>
          <w:sz w:val="32"/>
          <w:szCs w:val="40"/>
        </w:rPr>
      </w:pPr>
      <w:r>
        <w:rPr>
          <w:rFonts w:ascii="楷体" w:eastAsia="楷体" w:hAnsi="楷体" w:cs="楷体" w:hint="eastAsia"/>
          <w:b/>
          <w:bCs/>
          <w:sz w:val="32"/>
          <w:szCs w:val="40"/>
        </w:rPr>
        <w:t>（五）</w:t>
      </w:r>
      <w:r>
        <w:rPr>
          <w:rFonts w:ascii="仿宋_GB2312" w:eastAsia="仿宋_GB2312" w:hAnsi="仿宋_GB2312" w:cs="仿宋_GB2312" w:hint="eastAsia"/>
          <w:sz w:val="32"/>
          <w:szCs w:val="40"/>
        </w:rPr>
        <w:t>因继承、离婚析产等原因需要转移经济适用住房所有权的，被转移人符合经济适用住房购房条件的，应当持有关证明到县房屋权属登记机构办理变更登记手续。被转移人不符合经济适用住房购房条件的，需缴纳差价款取得完全产权后方可办理变更登记手续；不缴纳差价款的，由政府回购。</w:t>
      </w:r>
    </w:p>
    <w:p w:rsidR="008B4C6F" w:rsidRDefault="007B22CE">
      <w:pPr>
        <w:pStyle w:val="a7"/>
        <w:widowControl/>
        <w:spacing w:beforeAutospacing="0" w:afterAutospacing="0" w:line="580" w:lineRule="exact"/>
        <w:ind w:firstLineChars="200" w:firstLine="643"/>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lastRenderedPageBreak/>
        <w:t>（六）</w:t>
      </w:r>
      <w:r>
        <w:rPr>
          <w:rFonts w:ascii="仿宋_GB2312" w:eastAsia="仿宋_GB2312" w:hAnsi="Verdana" w:cs="Verdana" w:hint="eastAsia"/>
          <w:color w:val="000000"/>
          <w:sz w:val="32"/>
          <w:szCs w:val="32"/>
          <w:shd w:val="clear" w:color="auto" w:fill="FFFFFF"/>
        </w:rPr>
        <w:t>经济适用住房购房人，又购买其他住房的，必须办理经济适用住房退出手续，或者通过缴纳差价款取得完全产权。未办理退出手续或未取得完全产权的，县房屋权属登记机构不得为其新购住房办理房屋所有权证。</w:t>
      </w:r>
    </w:p>
    <w:p w:rsidR="008B4C6F" w:rsidRDefault="007B22CE">
      <w:pPr>
        <w:pStyle w:val="a7"/>
        <w:widowControl/>
        <w:spacing w:beforeAutospacing="0" w:afterAutospacing="0" w:line="580" w:lineRule="exact"/>
        <w:ind w:firstLineChars="200" w:firstLine="643"/>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（七）</w:t>
      </w:r>
      <w:r>
        <w:rPr>
          <w:rFonts w:ascii="仿宋_GB2312" w:eastAsia="仿宋_GB2312" w:hAnsi="Verdana" w:cs="Verdana" w:hint="eastAsia"/>
          <w:color w:val="000000"/>
          <w:sz w:val="32"/>
          <w:szCs w:val="32"/>
          <w:shd w:val="clear" w:color="auto" w:fill="FFFFFF"/>
        </w:rPr>
        <w:t>已购经济适用住房上市交易后，原申请人不得再申请保障性住房。</w:t>
      </w:r>
    </w:p>
    <w:p w:rsidR="008B4C6F" w:rsidRDefault="007B22CE">
      <w:pPr>
        <w:spacing w:line="580" w:lineRule="exact"/>
        <w:ind w:firstLineChars="200" w:firstLine="640"/>
        <w:rPr>
          <w:rFonts w:ascii="仿宋_GB2312" w:eastAsia="仿宋_GB2312" w:hAnsi="仿宋_GB2312" w:cs="仿宋_GB2312"/>
          <w:sz w:val="32"/>
          <w:szCs w:val="40"/>
        </w:rPr>
      </w:pPr>
      <w:r>
        <w:rPr>
          <w:rFonts w:ascii="黑体" w:eastAsia="黑体" w:hAnsi="黑体" w:cs="黑体" w:hint="eastAsia"/>
          <w:sz w:val="32"/>
          <w:szCs w:val="40"/>
        </w:rPr>
        <w:t>二、建立政府回购制度</w:t>
      </w:r>
    </w:p>
    <w:p w:rsidR="008B4C6F" w:rsidRDefault="007B22CE">
      <w:pPr>
        <w:spacing w:line="580" w:lineRule="exact"/>
        <w:ind w:firstLineChars="200" w:firstLine="643"/>
        <w:rPr>
          <w:rFonts w:ascii="仿宋_GB2312" w:eastAsia="仿宋_GB2312" w:hAnsi="仿宋_GB2312" w:cs="仿宋_GB2312"/>
          <w:sz w:val="32"/>
          <w:szCs w:val="40"/>
        </w:rPr>
      </w:pPr>
      <w:r>
        <w:rPr>
          <w:rFonts w:ascii="楷体" w:eastAsia="楷体" w:hAnsi="楷体" w:cs="楷体" w:hint="eastAsia"/>
          <w:b/>
          <w:bCs/>
          <w:sz w:val="32"/>
          <w:szCs w:val="40"/>
        </w:rPr>
        <w:t>（一）</w:t>
      </w:r>
      <w:r>
        <w:rPr>
          <w:rFonts w:ascii="仿宋_GB2312" w:eastAsia="仿宋_GB2312" w:hAnsi="仿宋_GB2312" w:cs="仿宋_GB2312" w:hint="eastAsia"/>
          <w:sz w:val="32"/>
          <w:szCs w:val="40"/>
        </w:rPr>
        <w:t>政府回购经济适用住房，由县住房保障机构负责组织实施，所需资金由县财政部门从住房保障资金中予以安排。</w:t>
      </w:r>
    </w:p>
    <w:p w:rsidR="008B4C6F" w:rsidRDefault="007B22CE">
      <w:pPr>
        <w:pStyle w:val="a7"/>
        <w:widowControl/>
        <w:spacing w:beforeAutospacing="0" w:afterAutospacing="0" w:line="580" w:lineRule="exact"/>
        <w:ind w:firstLineChars="200" w:firstLine="643"/>
        <w:jc w:val="both"/>
        <w:rPr>
          <w:rFonts w:ascii="楷体" w:eastAsia="楷体" w:hAnsi="楷体" w:cs="楷体"/>
          <w:b/>
          <w:bCs/>
          <w:sz w:val="32"/>
          <w:szCs w:val="32"/>
        </w:rPr>
      </w:pPr>
      <w:r>
        <w:rPr>
          <w:rFonts w:ascii="楷体" w:eastAsia="楷体" w:hAnsi="楷体" w:cs="楷体" w:hint="eastAsia"/>
          <w:b/>
          <w:bCs/>
          <w:color w:val="000000"/>
          <w:sz w:val="32"/>
          <w:szCs w:val="32"/>
          <w:shd w:val="clear" w:color="auto" w:fill="FFFFFF"/>
        </w:rPr>
        <w:t>（二）经济适用住房有以下情形之一的，由政府优先回购：</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t>1.购房人自愿退出经济适用住房的；</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t>2.因特殊原因购房时间不满5年确需转让的；</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t>3.已购买经济适用住房未取得完全产权，又购买其他住房的；</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t>4.因继承、离婚析产等原因需要转移经济适用住房所有权，被转移人不符合经济适用住房购房条件的或未通过缴纳差价款取得完全产权的；</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t>5.法律、法规规定的其它情形。</w:t>
      </w:r>
    </w:p>
    <w:p w:rsidR="008B4C6F" w:rsidRDefault="007B22CE">
      <w:pPr>
        <w:pStyle w:val="a7"/>
        <w:widowControl/>
        <w:spacing w:beforeAutospacing="0" w:afterAutospacing="0" w:line="580" w:lineRule="exact"/>
        <w:ind w:firstLineChars="200" w:firstLine="643"/>
        <w:jc w:val="both"/>
        <w:rPr>
          <w:rFonts w:ascii="仿宋_GB2312" w:eastAsia="仿宋_GB2312"/>
          <w:b/>
          <w:bCs/>
          <w:sz w:val="32"/>
          <w:szCs w:val="32"/>
        </w:rPr>
      </w:pPr>
      <w:r>
        <w:rPr>
          <w:rFonts w:ascii="楷体" w:eastAsia="楷体" w:hAnsi="楷体" w:cs="楷体" w:hint="eastAsia"/>
          <w:b/>
          <w:bCs/>
          <w:color w:val="000000"/>
          <w:sz w:val="32"/>
          <w:szCs w:val="32"/>
          <w:shd w:val="clear" w:color="auto" w:fill="FFFFFF"/>
        </w:rPr>
        <w:t>（三）政府回购经济适用住房按照以下程序办理：</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lastRenderedPageBreak/>
        <w:t>1.</w:t>
      </w:r>
      <w:r>
        <w:rPr>
          <w:rFonts w:ascii="Verdana" w:eastAsia="仿宋_GB2312" w:hAnsi="Verdana" w:cs="Verdana" w:hint="eastAsia"/>
          <w:color w:val="000000"/>
          <w:sz w:val="32"/>
          <w:szCs w:val="32"/>
          <w:shd w:val="clear" w:color="auto" w:fill="FFFFFF"/>
        </w:rPr>
        <w:t> </w:t>
      </w:r>
      <w:r>
        <w:rPr>
          <w:rFonts w:ascii="仿宋_GB2312" w:eastAsia="仿宋_GB2312" w:hAnsi="Verdana" w:cs="Verdana" w:hint="eastAsia"/>
          <w:color w:val="000000"/>
          <w:sz w:val="32"/>
          <w:szCs w:val="32"/>
          <w:shd w:val="clear" w:color="auto" w:fill="FFFFFF"/>
        </w:rPr>
        <w:t>购房人到县住房保障机构填写《经济适用住房政府回购申请审批表》，并提交房屋所有权证、身份证、户口本等相关材料；</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t>2.确定回购价格、款项及金额；</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t>3.县住房保障机构向购房人下达《经济适用住房政府回购通知书》，告知回购理由及迁出期限。迁出期限为3个月；</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仿宋_GB2312" w:eastAsia="仿宋_GB2312" w:hAnsi="Verdana" w:cs="Verdana" w:hint="eastAsia"/>
          <w:color w:val="000000"/>
          <w:sz w:val="32"/>
          <w:szCs w:val="32"/>
          <w:shd w:val="clear" w:color="auto" w:fill="FFFFFF"/>
        </w:rPr>
        <w:t>4.</w:t>
      </w:r>
      <w:r>
        <w:rPr>
          <w:rFonts w:ascii="Verdana" w:eastAsia="仿宋_GB2312" w:hAnsi="Verdana" w:cs="Verdana" w:hint="eastAsia"/>
          <w:color w:val="000000"/>
          <w:sz w:val="32"/>
          <w:szCs w:val="32"/>
          <w:shd w:val="clear" w:color="auto" w:fill="FFFFFF"/>
        </w:rPr>
        <w:t> </w:t>
      </w:r>
      <w:r>
        <w:rPr>
          <w:rFonts w:ascii="仿宋_GB2312" w:eastAsia="仿宋_GB2312" w:hAnsi="Verdana" w:cs="Verdana" w:hint="eastAsia"/>
          <w:color w:val="000000"/>
          <w:sz w:val="32"/>
          <w:szCs w:val="32"/>
          <w:shd w:val="clear" w:color="auto" w:fill="FFFFFF"/>
        </w:rPr>
        <w:t>注销房屋所有权证。</w:t>
      </w:r>
    </w:p>
    <w:p w:rsidR="008B4C6F" w:rsidRDefault="007B22CE">
      <w:pPr>
        <w:pStyle w:val="a7"/>
        <w:widowControl/>
        <w:spacing w:beforeAutospacing="0" w:afterAutospacing="0" w:line="580" w:lineRule="exact"/>
        <w:ind w:firstLineChars="200" w:firstLine="643"/>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（四）</w:t>
      </w:r>
      <w:r>
        <w:rPr>
          <w:rFonts w:ascii="仿宋_GB2312" w:eastAsia="仿宋_GB2312" w:hAnsi="Verdana" w:cs="Verdana" w:hint="eastAsia"/>
          <w:color w:val="000000"/>
          <w:sz w:val="32"/>
          <w:szCs w:val="32"/>
          <w:shd w:val="clear" w:color="auto" w:fill="FFFFFF"/>
        </w:rPr>
        <w:t>政府回购价格按照原购房价格并考虑折旧和同期银行贷款利息等因素，由县住房保障、财政、物价部门共同确定。</w:t>
      </w:r>
    </w:p>
    <w:p w:rsidR="008B4C6F" w:rsidRDefault="007B22CE">
      <w:pPr>
        <w:pStyle w:val="a7"/>
        <w:widowControl/>
        <w:spacing w:beforeAutospacing="0" w:afterAutospacing="0" w:line="580" w:lineRule="exact"/>
        <w:ind w:firstLineChars="200" w:firstLine="643"/>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（五）</w:t>
      </w:r>
      <w:r>
        <w:rPr>
          <w:rFonts w:ascii="仿宋_GB2312" w:eastAsia="仿宋_GB2312" w:hAnsi="Verdana" w:cs="Verdana" w:hint="eastAsia"/>
          <w:color w:val="000000"/>
          <w:sz w:val="32"/>
          <w:szCs w:val="32"/>
          <w:shd w:val="clear" w:color="auto" w:fill="FFFFFF"/>
        </w:rPr>
        <w:t>回购后的经济适用住房以回购价格继续供应给具有经济适用住房购房资格的家庭或作为其它形式的保障性住房。</w:t>
      </w:r>
    </w:p>
    <w:p w:rsidR="008B4C6F" w:rsidRDefault="007B22CE">
      <w:pPr>
        <w:pStyle w:val="a7"/>
        <w:widowControl/>
        <w:spacing w:beforeAutospacing="0" w:afterAutospacing="0" w:line="580" w:lineRule="exact"/>
        <w:ind w:firstLineChars="200" w:firstLine="643"/>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（六）</w:t>
      </w:r>
      <w:r>
        <w:rPr>
          <w:rFonts w:ascii="仿宋_GB2312" w:eastAsia="仿宋_GB2312" w:hAnsi="Verdana" w:cs="Verdana" w:hint="eastAsia"/>
          <w:color w:val="000000"/>
          <w:sz w:val="32"/>
          <w:szCs w:val="32"/>
          <w:shd w:val="clear" w:color="auto" w:fill="FFFFFF"/>
        </w:rPr>
        <w:t>自愿退出经济适用住房并由政府回购的家庭，凡符合我县住房保障有关政策规定的，可再申请保障性住房。</w:t>
      </w:r>
    </w:p>
    <w:p w:rsidR="008B4C6F" w:rsidRDefault="007B22CE">
      <w:pPr>
        <w:pStyle w:val="a7"/>
        <w:widowControl/>
        <w:spacing w:beforeAutospacing="0" w:afterAutospacing="0" w:line="580" w:lineRule="exact"/>
        <w:ind w:firstLineChars="200" w:firstLine="640"/>
        <w:jc w:val="both"/>
        <w:rPr>
          <w:rFonts w:ascii="仿宋_GB2312" w:eastAsia="仿宋_GB2312"/>
          <w:sz w:val="32"/>
          <w:szCs w:val="32"/>
        </w:rPr>
      </w:pPr>
      <w:r>
        <w:rPr>
          <w:rFonts w:ascii="黑体" w:eastAsia="黑体" w:hAnsi="黑体" w:cs="黑体" w:hint="eastAsia"/>
          <w:color w:val="000000"/>
          <w:sz w:val="32"/>
          <w:szCs w:val="32"/>
          <w:shd w:val="clear" w:color="auto" w:fill="FFFFFF"/>
        </w:rPr>
        <w:t>三、完善监督机制</w:t>
      </w:r>
    </w:p>
    <w:p w:rsidR="008B4C6F" w:rsidRDefault="007B22CE">
      <w:pPr>
        <w:pStyle w:val="a7"/>
        <w:widowControl/>
        <w:spacing w:beforeAutospacing="0" w:afterAutospacing="0" w:line="580" w:lineRule="exact"/>
        <w:ind w:firstLineChars="200" w:firstLine="643"/>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（一）完善准入机制。</w:t>
      </w:r>
      <w:r>
        <w:rPr>
          <w:rFonts w:ascii="仿宋_GB2312" w:eastAsia="仿宋_GB2312" w:hAnsi="Verdana" w:cs="Verdana" w:hint="eastAsia"/>
          <w:color w:val="000000"/>
          <w:sz w:val="32"/>
          <w:szCs w:val="32"/>
          <w:shd w:val="clear" w:color="auto" w:fill="FFFFFF"/>
        </w:rPr>
        <w:t>建立县住房保障、民政、公安、人社、市场监管、税务、金融、住房公积金等单位的信息共享机制，对申请保障性住房家庭的户籍、婚姻状况、房产、收入、财产等情况进行联合核查。同时，对申请人及共同申请人的单位、婚姻状况、住房、收入、财产等信息进行公示。</w:t>
      </w:r>
    </w:p>
    <w:p w:rsidR="008B4C6F" w:rsidRDefault="007B22CE">
      <w:pPr>
        <w:spacing w:line="580" w:lineRule="exact"/>
        <w:ind w:firstLineChars="200" w:firstLine="643"/>
        <w:rPr>
          <w:rFonts w:ascii="仿宋_GB2312" w:eastAsia="仿宋_GB2312" w:hAnsi="仿宋_GB2312" w:cs="仿宋_GB2312"/>
          <w:sz w:val="32"/>
          <w:szCs w:val="40"/>
        </w:rPr>
      </w:pPr>
      <w:r>
        <w:rPr>
          <w:rFonts w:ascii="楷体" w:eastAsia="楷体" w:hAnsi="楷体" w:cs="楷体" w:hint="eastAsia"/>
          <w:b/>
          <w:bCs/>
          <w:color w:val="000000"/>
          <w:sz w:val="32"/>
          <w:szCs w:val="48"/>
          <w:shd w:val="clear" w:color="auto" w:fill="FFFFFF"/>
        </w:rPr>
        <w:t>（二）完善退出机制。</w:t>
      </w:r>
      <w:r>
        <w:rPr>
          <w:rFonts w:ascii="仿宋_GB2312" w:eastAsia="仿宋_GB2312" w:hAnsi="仿宋_GB2312" w:cs="仿宋_GB2312" w:hint="eastAsia"/>
          <w:color w:val="000000"/>
          <w:sz w:val="32"/>
          <w:szCs w:val="48"/>
          <w:shd w:val="clear" w:color="auto" w:fill="FFFFFF"/>
        </w:rPr>
        <w:t>经济适用住房购房在取得完全产权前，不得出租和改变住房性质。对骗购经济适用住房的，</w:t>
      </w:r>
      <w:r>
        <w:rPr>
          <w:rFonts w:ascii="仿宋_GB2312" w:eastAsia="仿宋_GB2312" w:hAnsi="仿宋_GB2312" w:cs="仿宋_GB2312" w:hint="eastAsia"/>
          <w:color w:val="000000"/>
          <w:sz w:val="32"/>
          <w:szCs w:val="48"/>
          <w:shd w:val="clear" w:color="auto" w:fill="FFFFFF"/>
        </w:rPr>
        <w:lastRenderedPageBreak/>
        <w:t>一经查实，由县住房保障机构责令退还所购经济适用房，并依法注销其房屋所有权登记，或补缴同期、同地段商品房差价款，不得再次申请其他保障性住房；对不补交差价款未取</w:t>
      </w:r>
      <w:r>
        <w:rPr>
          <w:rFonts w:ascii="仿宋_GB2312" w:eastAsia="仿宋_GB2312" w:hAnsi="仿宋_GB2312" w:cs="仿宋_GB2312" w:hint="eastAsia"/>
          <w:sz w:val="32"/>
          <w:szCs w:val="40"/>
        </w:rPr>
        <w:t>得完全产权而出租、出借和改变使用性质的行为，将严肃查处。</w:t>
      </w:r>
    </w:p>
    <w:p w:rsidR="008B4C6F" w:rsidRDefault="007B22CE">
      <w:pPr>
        <w:spacing w:line="580" w:lineRule="exact"/>
        <w:ind w:firstLineChars="200" w:firstLine="643"/>
        <w:rPr>
          <w:rFonts w:ascii="仿宋_GB2312" w:eastAsia="仿宋_GB2312" w:hAnsi="仿宋_GB2312" w:cs="仿宋_GB2312"/>
          <w:sz w:val="32"/>
          <w:szCs w:val="48"/>
        </w:rPr>
      </w:pPr>
      <w:r>
        <w:rPr>
          <w:rFonts w:ascii="楷体" w:eastAsia="楷体" w:hAnsi="楷体" w:cs="楷体" w:hint="eastAsia"/>
          <w:b/>
          <w:bCs/>
          <w:sz w:val="32"/>
          <w:szCs w:val="40"/>
        </w:rPr>
        <w:t>（三）加强社会监督。</w:t>
      </w:r>
      <w:r>
        <w:rPr>
          <w:rFonts w:ascii="仿宋_GB2312" w:eastAsia="仿宋_GB2312" w:hAnsi="仿宋_GB2312" w:cs="仿宋_GB2312" w:hint="eastAsia"/>
          <w:sz w:val="32"/>
          <w:szCs w:val="40"/>
        </w:rPr>
        <w:t>县住房保障机构要设立并公布举报电话、信箱、电子邮箱等，采取多种方式接受群众举报、投诉，加强社会监督。</w:t>
      </w:r>
    </w:p>
    <w:p w:rsidR="008B4C6F" w:rsidRDefault="007B22CE">
      <w:pPr>
        <w:pStyle w:val="a7"/>
        <w:widowControl/>
        <w:spacing w:beforeAutospacing="0" w:afterAutospacing="0" w:line="580" w:lineRule="exact"/>
        <w:ind w:firstLineChars="200" w:firstLine="640"/>
        <w:jc w:val="both"/>
      </w:pPr>
      <w:r>
        <w:rPr>
          <w:rFonts w:ascii="黑体" w:eastAsia="黑体" w:hAnsi="黑体" w:cs="黑体" w:hint="eastAsia"/>
          <w:color w:val="000000"/>
          <w:sz w:val="32"/>
          <w:szCs w:val="32"/>
          <w:shd w:val="clear" w:color="auto" w:fill="FFFFFF"/>
        </w:rPr>
        <w:t>四、本通知</w:t>
      </w:r>
      <w:r>
        <w:rPr>
          <w:rFonts w:ascii="黑体" w:eastAsia="黑体" w:hAnsi="黑体" w:cs="黑体"/>
          <w:color w:val="000000"/>
          <w:sz w:val="32"/>
          <w:szCs w:val="32"/>
          <w:shd w:val="clear" w:color="auto" w:fill="FFFFFF"/>
        </w:rPr>
        <w:t>自发布之日起</w:t>
      </w:r>
      <w:r>
        <w:rPr>
          <w:rFonts w:ascii="黑体" w:eastAsia="黑体" w:hAnsi="黑体" w:cs="黑体" w:hint="eastAsia"/>
          <w:color w:val="000000"/>
          <w:sz w:val="32"/>
          <w:szCs w:val="32"/>
          <w:shd w:val="clear" w:color="auto" w:fill="FFFFFF"/>
        </w:rPr>
        <w:t>施行。</w:t>
      </w:r>
    </w:p>
    <w:p w:rsidR="008B4C6F" w:rsidRDefault="008B4C6F"/>
    <w:p w:rsidR="008B4C6F" w:rsidRDefault="008B4C6F"/>
    <w:p w:rsidR="008B4C6F" w:rsidRDefault="008B4C6F">
      <w:pPr>
        <w:rPr>
          <w:rFonts w:ascii="仿宋_GB2312" w:eastAsia="仿宋_GB2312" w:hAnsi="仿宋_GB2312" w:cs="仿宋_GB2312"/>
          <w:sz w:val="32"/>
          <w:szCs w:val="32"/>
        </w:rPr>
      </w:pPr>
      <w:bookmarkStart w:id="0" w:name="_GoBack"/>
      <w:bookmarkEnd w:id="0"/>
    </w:p>
    <w:sectPr w:rsidR="008B4C6F">
      <w:footerReference w:type="default" r:id="rId7"/>
      <w:pgSz w:w="11906" w:h="16838"/>
      <w:pgMar w:top="1553"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A16" w:rsidRDefault="001D7A16">
      <w:r>
        <w:separator/>
      </w:r>
    </w:p>
  </w:endnote>
  <w:endnote w:type="continuationSeparator" w:id="0">
    <w:p w:rsidR="001D7A16" w:rsidRDefault="001D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E7FFAEFF" w:usb1="F9DFFFFF" w:usb2="000FFDFF" w:usb3="00000000" w:csb0="003F01F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embedRegular r:id="rId1" w:subsetted="1" w:fontKey="{8CF1B0BD-6A21-456C-AEF4-539EF12A1178}"/>
  </w:font>
  <w:font w:name="仿宋_GB2312">
    <w:panose1 w:val="02010609030101010101"/>
    <w:charset w:val="86"/>
    <w:family w:val="modern"/>
    <w:pitch w:val="fixed"/>
    <w:sig w:usb0="00000001" w:usb1="080E0000" w:usb2="00000010" w:usb3="00000000" w:csb0="00040000" w:csb1="00000000"/>
    <w:embedRegular r:id="rId2" w:subsetted="1" w:fontKey="{9EC3D6AB-72F9-4E11-A30F-38EEB9965573}"/>
  </w:font>
  <w:font w:name="Verdana">
    <w:panose1 w:val="020B0604030504040204"/>
    <w:charset w:val="00"/>
    <w:family w:val="swiss"/>
    <w:pitch w:val="variable"/>
    <w:sig w:usb0="A00006FF" w:usb1="4000205B" w:usb2="00000010" w:usb3="00000000" w:csb0="0000019F" w:csb1="00000000"/>
    <w:embedRegular r:id="rId3" w:subsetted="1" w:fontKey="{B9B7C9E8-DF9E-4E0A-8E9E-27163B3B7A46}"/>
  </w:font>
  <w:font w:name="黑体">
    <w:altName w:val="SimHei"/>
    <w:panose1 w:val="02010609060101010101"/>
    <w:charset w:val="86"/>
    <w:family w:val="modern"/>
    <w:pitch w:val="fixed"/>
    <w:sig w:usb0="800002BF" w:usb1="38CF7CFA" w:usb2="00000016" w:usb3="00000000" w:csb0="00040001" w:csb1="00000000"/>
    <w:embedRegular r:id="rId4" w:subsetted="1" w:fontKey="{D4A1002C-43CB-462D-BC9A-E8A228AF4AE0}"/>
  </w:font>
  <w:font w:name="楷体">
    <w:panose1 w:val="02010609060101010101"/>
    <w:charset w:val="86"/>
    <w:family w:val="modern"/>
    <w:pitch w:val="fixed"/>
    <w:sig w:usb0="800002BF" w:usb1="38CF7CFA" w:usb2="00000016" w:usb3="00000000" w:csb0="00040001" w:csb1="00000000"/>
    <w:embedBold r:id="rId5" w:subsetted="1" w:fontKey="{26BC4E47-7DAE-4552-B045-C14D35998DC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6F" w:rsidRDefault="007B22CE">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B4C6F" w:rsidRDefault="007B22CE">
                          <w:pPr>
                            <w:pStyle w:val="a3"/>
                            <w:rPr>
                              <w:rFonts w:asciiTheme="minorEastAsia" w:hAnsiTheme="minorEastAsia" w:cstheme="minorEastAsia"/>
                              <w:sz w:val="24"/>
                              <w:szCs w:val="24"/>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61870">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filled="f" stroked="f">
              <v:textbox style="mso-fit-shape-to-text:t" inset="0,0,0,0">
                <w:txbxContent>
                  <w:p w:rsidR="008B4C6F" w:rsidRDefault="007B22CE">
                    <w:pPr>
                      <w:pStyle w:val="a3"/>
                      <w:rPr>
                        <w:rFonts w:asciiTheme="minorEastAsia" w:hAnsiTheme="minorEastAsia" w:cstheme="minorEastAsia"/>
                        <w:sz w:val="24"/>
                        <w:szCs w:val="24"/>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61870">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A16" w:rsidRDefault="001D7A16">
      <w:r>
        <w:separator/>
      </w:r>
    </w:p>
  </w:footnote>
  <w:footnote w:type="continuationSeparator" w:id="0">
    <w:p w:rsidR="001D7A16" w:rsidRDefault="001D7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aveSubsetFonts/>
  <w:bordersDoNotSurroundHeader/>
  <w:bordersDoNotSurroundFooter/>
  <w:defaultTabStop w:val="41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hZjc2MWIwNWQxMjIwNThiNzkwNTRiNTk5NTgzOTMifQ=="/>
  </w:docVars>
  <w:rsids>
    <w:rsidRoot w:val="006937AB"/>
    <w:rsid w:val="B55FB234"/>
    <w:rsid w:val="0006155D"/>
    <w:rsid w:val="001D7A16"/>
    <w:rsid w:val="00224ECE"/>
    <w:rsid w:val="00361870"/>
    <w:rsid w:val="00522582"/>
    <w:rsid w:val="00562824"/>
    <w:rsid w:val="00602930"/>
    <w:rsid w:val="006937AB"/>
    <w:rsid w:val="00742626"/>
    <w:rsid w:val="00750108"/>
    <w:rsid w:val="00781369"/>
    <w:rsid w:val="007B22CE"/>
    <w:rsid w:val="0081036D"/>
    <w:rsid w:val="008A1381"/>
    <w:rsid w:val="008B4C6F"/>
    <w:rsid w:val="009447B9"/>
    <w:rsid w:val="00CC4D75"/>
    <w:rsid w:val="00D76C28"/>
    <w:rsid w:val="00EC0401"/>
    <w:rsid w:val="06883F4B"/>
    <w:rsid w:val="232E3169"/>
    <w:rsid w:val="28362887"/>
    <w:rsid w:val="391430EA"/>
    <w:rsid w:val="3E5F17B9"/>
    <w:rsid w:val="522901AB"/>
    <w:rsid w:val="629C1FA4"/>
    <w:rsid w:val="6FCD84A7"/>
    <w:rsid w:val="7396BD3D"/>
    <w:rsid w:val="7B8E4BAE"/>
    <w:rsid w:val="7E721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B15BF"/>
  <w15:docId w15:val="{FCA0BD31-7406-4FFA-8B93-1E8D6261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qFormat/>
    <w:pPr>
      <w:spacing w:beforeAutospacing="1" w:afterAutospacing="1"/>
      <w:jc w:val="left"/>
    </w:pPr>
    <w:rPr>
      <w:rFonts w:cs="Times New Roman"/>
      <w:kern w:val="0"/>
      <w:sz w:val="24"/>
    </w:rPr>
  </w:style>
  <w:style w:type="character" w:styleId="a8">
    <w:name w:val="page number"/>
    <w:basedOn w:val="a0"/>
    <w:autoRedefine/>
    <w:qFormat/>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295</Words>
  <Characters>1683</Characters>
  <Application>Microsoft Office Word</Application>
  <DocSecurity>0</DocSecurity>
  <Lines>14</Lines>
  <Paragraphs>3</Paragraphs>
  <ScaleCrop>false</ScaleCrop>
  <Company>微软中国</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6</cp:revision>
  <cp:lastPrinted>2024-02-20T07:17:00Z</cp:lastPrinted>
  <dcterms:created xsi:type="dcterms:W3CDTF">2023-03-17T23:25:00Z</dcterms:created>
  <dcterms:modified xsi:type="dcterms:W3CDTF">2024-05-17T08:53:00Z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C3AD6517AB1C4653AAA8DB52367BD6B5_13</vt:lpwstr>
  </property>
</Properties>
</file>