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00AD7">
      <w:pPr>
        <w:keepNext w:val="0"/>
        <w:keepLines w:val="0"/>
        <w:pageBreakBefore w:val="0"/>
        <w:widowControl w:val="0"/>
        <w:kinsoku/>
        <w:wordWrap/>
        <w:overflowPunct/>
        <w:topLinePunct w:val="0"/>
        <w:autoSpaceDE/>
        <w:autoSpaceDN/>
        <w:bidi w:val="0"/>
        <w:adjustRightInd/>
        <w:snapToGrid/>
        <w:spacing w:after="120" w:afterLines="50" w:line="480" w:lineRule="exact"/>
        <w:ind w:firstLine="640"/>
        <w:jc w:val="center"/>
        <w:textAlignment w:val="auto"/>
        <w:rPr>
          <w:rFonts w:hint="eastAsia"/>
          <w:szCs w:val="32"/>
        </w:rPr>
      </w:pPr>
    </w:p>
    <w:p w14:paraId="44BFF37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Cs w:val="32"/>
        </w:rPr>
      </w:pPr>
    </w:p>
    <w:p w14:paraId="0862B6A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Cs w:val="32"/>
        </w:rPr>
      </w:pPr>
    </w:p>
    <w:p w14:paraId="3290888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Cs w:val="32"/>
        </w:rPr>
      </w:pPr>
    </w:p>
    <w:p w14:paraId="7C9FEEF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szCs w:val="32"/>
        </w:rPr>
      </w:pPr>
    </w:p>
    <w:p w14:paraId="132A85A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32"/>
          <w:szCs w:val="32"/>
          <w:lang w:val="en-US" w:eastAsia="zh-CN"/>
        </w:rPr>
      </w:pPr>
    </w:p>
    <w:p w14:paraId="22A5F41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sz w:val="32"/>
          <w:szCs w:val="32"/>
          <w:lang w:val="en-US" w:eastAsia="zh-CN"/>
        </w:rPr>
      </w:pPr>
    </w:p>
    <w:p w14:paraId="61BFB33A">
      <w:pPr>
        <w:keepNext w:val="0"/>
        <w:keepLines w:val="0"/>
        <w:pageBreakBefore w:val="0"/>
        <w:widowControl w:val="0"/>
        <w:kinsoku/>
        <w:wordWrap/>
        <w:overflowPunct/>
        <w:topLinePunct w:val="0"/>
        <w:autoSpaceDE/>
        <w:autoSpaceDN/>
        <w:bidi w:val="0"/>
        <w:adjustRightInd/>
        <w:snapToGrid/>
        <w:spacing w:line="480" w:lineRule="exact"/>
        <w:ind w:firstLine="2880" w:firstLineChars="90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罗</w:t>
      </w:r>
      <w:r>
        <w:rPr>
          <w:rFonts w:hint="eastAsia" w:ascii="仿宋_GB2312" w:hAnsi="仿宋_GB2312" w:eastAsia="仿宋_GB2312" w:cs="仿宋_GB2312"/>
          <w:sz w:val="32"/>
          <w:szCs w:val="32"/>
        </w:rPr>
        <w:t>政食安</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14:paraId="08469A9C">
      <w:pPr>
        <w:pStyle w:val="4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小标宋简体" w:hAnsi="方正小标宋简体" w:eastAsia="方正小标宋简体" w:cs="方正小标宋简体"/>
        </w:rPr>
      </w:pPr>
    </w:p>
    <w:p w14:paraId="546A4926">
      <w:pPr>
        <w:pStyle w:val="4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小标宋简体" w:hAnsi="方正小标宋简体" w:eastAsia="方正小标宋简体" w:cs="方正小标宋简体"/>
        </w:rPr>
      </w:pPr>
    </w:p>
    <w:p w14:paraId="4E6D293D">
      <w:pPr>
        <w:keepNext w:val="0"/>
        <w:keepLines w:val="0"/>
        <w:pageBreakBefore w:val="0"/>
        <w:widowControl w:val="0"/>
        <w:kinsoku/>
        <w:wordWrap/>
        <w:overflowPunct w:val="0"/>
        <w:topLinePunct w:val="0"/>
        <w:autoSpaceDE w:val="0"/>
        <w:autoSpaceDN w:val="0"/>
        <w:bidi w:val="0"/>
        <w:adjustRightInd w:val="0"/>
        <w:snapToGrid w:val="0"/>
        <w:spacing w:after="0" w:line="240" w:lineRule="auto"/>
        <w:ind w:left="0" w:leftChars="0" w:right="0" w:firstLine="0" w:firstLineChars="0"/>
        <w:jc w:val="center"/>
        <w:textAlignment w:val="baseline"/>
        <w:rPr>
          <w:rFonts w:hint="eastAsia" w:ascii="方正小标宋简体" w:hAnsi="方正小标宋简体" w:eastAsia="方正小标宋简体" w:cs="方正小标宋简体"/>
          <w:snapToGrid w:val="0"/>
          <w:color w:val="000000" w:themeColor="text1"/>
          <w:sz w:val="44"/>
          <w:szCs w:val="44"/>
          <w:u w:val="none"/>
          <w:lang w:eastAsia="zh-CN" w:bidi="ar-SA"/>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z w:val="44"/>
          <w:szCs w:val="44"/>
          <w:u w:val="none"/>
          <w:lang w:val="en-US" w:eastAsia="zh-CN" w:bidi="ar-SA"/>
          <w14:textFill>
            <w14:solidFill>
              <w14:schemeClr w14:val="tx1"/>
            </w14:solidFill>
          </w14:textFill>
        </w:rPr>
        <w:t>罗山县</w:t>
      </w:r>
      <w:r>
        <w:rPr>
          <w:rFonts w:hint="eastAsia" w:ascii="方正小标宋简体" w:hAnsi="方正小标宋简体" w:eastAsia="方正小标宋简体" w:cs="方正小标宋简体"/>
          <w:snapToGrid w:val="0"/>
          <w:color w:val="000000" w:themeColor="text1"/>
          <w:sz w:val="44"/>
          <w:szCs w:val="44"/>
          <w:u w:val="none"/>
          <w:lang w:bidi="ar-SA"/>
          <w14:textFill>
            <w14:solidFill>
              <w14:schemeClr w14:val="tx1"/>
            </w14:solidFill>
          </w14:textFill>
        </w:rPr>
        <w:t>人民政府食品安全委员会</w:t>
      </w:r>
      <w:r>
        <w:rPr>
          <w:rFonts w:hint="eastAsia" w:ascii="方正小标宋简体" w:hAnsi="方正小标宋简体" w:eastAsia="方正小标宋简体" w:cs="方正小标宋简体"/>
          <w:snapToGrid w:val="0"/>
          <w:color w:val="000000" w:themeColor="text1"/>
          <w:sz w:val="44"/>
          <w:szCs w:val="44"/>
          <w:u w:val="none"/>
          <w:lang w:eastAsia="zh-CN" w:bidi="ar-SA"/>
          <w14:textFill>
            <w14:solidFill>
              <w14:schemeClr w14:val="tx1"/>
            </w14:solidFill>
          </w14:textFill>
        </w:rPr>
        <w:t>办公室</w:t>
      </w:r>
    </w:p>
    <w:p w14:paraId="41B5FB80">
      <w:pPr>
        <w:keepNext w:val="0"/>
        <w:keepLines w:val="0"/>
        <w:pageBreakBefore w:val="0"/>
        <w:widowControl w:val="0"/>
        <w:kinsoku/>
        <w:wordWrap/>
        <w:overflowPunct w:val="0"/>
        <w:topLinePunct w:val="0"/>
        <w:autoSpaceDE w:val="0"/>
        <w:autoSpaceDN w:val="0"/>
        <w:bidi w:val="0"/>
        <w:adjustRightInd w:val="0"/>
        <w:snapToGrid w:val="0"/>
        <w:spacing w:after="0" w:line="240" w:lineRule="auto"/>
        <w:ind w:left="0" w:leftChars="0" w:right="0" w:firstLine="0" w:firstLineChars="0"/>
        <w:jc w:val="center"/>
        <w:textAlignment w:val="baseline"/>
        <w:rPr>
          <w:rFonts w:hint="eastAsia" w:ascii="方正小标宋简体" w:hAnsi="方正小标宋简体" w:eastAsia="方正小标宋简体" w:cs="方正小标宋简体"/>
          <w:snapToGrid w:val="0"/>
          <w:color w:val="000000" w:themeColor="text1"/>
          <w:sz w:val="44"/>
          <w:szCs w:val="44"/>
          <w:u w:val="none"/>
          <w:lang w:bidi="ar-SA"/>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pacing w:val="-20"/>
          <w:sz w:val="44"/>
          <w:szCs w:val="44"/>
          <w:u w:val="none"/>
          <w:lang w:bidi="ar-SA"/>
          <w14:textFill>
            <w14:solidFill>
              <w14:schemeClr w14:val="tx1"/>
            </w14:solidFill>
          </w14:textFill>
        </w:rPr>
        <w:t>关于印发2024年</w:t>
      </w:r>
      <w:r>
        <w:rPr>
          <w:rFonts w:hint="eastAsia" w:ascii="方正小标宋简体" w:hAnsi="方正小标宋简体" w:eastAsia="方正小标宋简体" w:cs="方正小标宋简体"/>
          <w:snapToGrid w:val="0"/>
          <w:color w:val="000000" w:themeColor="text1"/>
          <w:spacing w:val="-20"/>
          <w:sz w:val="44"/>
          <w:szCs w:val="44"/>
          <w:u w:val="none"/>
          <w:lang w:val="en-US" w:eastAsia="zh-CN" w:bidi="ar-SA"/>
          <w14:textFill>
            <w14:solidFill>
              <w14:schemeClr w14:val="tx1"/>
            </w14:solidFill>
          </w14:textFill>
        </w:rPr>
        <w:t>罗山县</w:t>
      </w:r>
      <w:r>
        <w:rPr>
          <w:rFonts w:hint="eastAsia" w:ascii="方正小标宋简体" w:hAnsi="方正小标宋简体" w:eastAsia="方正小标宋简体" w:cs="方正小标宋简体"/>
          <w:snapToGrid w:val="0"/>
          <w:color w:val="000000" w:themeColor="text1"/>
          <w:spacing w:val="-20"/>
          <w:sz w:val="44"/>
          <w:szCs w:val="44"/>
          <w:u w:val="none"/>
          <w:lang w:bidi="ar-SA"/>
          <w14:textFill>
            <w14:solidFill>
              <w14:schemeClr w14:val="tx1"/>
            </w14:solidFill>
          </w14:textFill>
        </w:rPr>
        <w:t>食品安全工作要点</w:t>
      </w:r>
      <w:r>
        <w:rPr>
          <w:rFonts w:hint="eastAsia" w:ascii="方正小标宋简体" w:hAnsi="方正小标宋简体" w:eastAsia="方正小标宋简体" w:cs="方正小标宋简体"/>
          <w:snapToGrid w:val="0"/>
          <w:color w:val="000000" w:themeColor="text1"/>
          <w:sz w:val="44"/>
          <w:szCs w:val="44"/>
          <w:u w:val="none"/>
          <w:lang w:bidi="ar-SA"/>
          <w14:textFill>
            <w14:solidFill>
              <w14:schemeClr w14:val="tx1"/>
            </w14:solidFill>
          </w14:textFill>
        </w:rPr>
        <w:t>的</w:t>
      </w:r>
    </w:p>
    <w:p w14:paraId="5404FF38">
      <w:pPr>
        <w:keepNext w:val="0"/>
        <w:keepLines w:val="0"/>
        <w:pageBreakBefore w:val="0"/>
        <w:widowControl w:val="0"/>
        <w:kinsoku/>
        <w:wordWrap/>
        <w:overflowPunct w:val="0"/>
        <w:topLinePunct w:val="0"/>
        <w:autoSpaceDE w:val="0"/>
        <w:autoSpaceDN w:val="0"/>
        <w:bidi w:val="0"/>
        <w:adjustRightInd w:val="0"/>
        <w:snapToGrid w:val="0"/>
        <w:spacing w:after="0" w:line="240" w:lineRule="auto"/>
        <w:ind w:left="0" w:leftChars="0" w:right="0" w:firstLine="0" w:firstLineChars="0"/>
        <w:jc w:val="center"/>
        <w:textAlignment w:val="baseline"/>
        <w:rPr>
          <w:rFonts w:hint="eastAsia" w:ascii="方正小标宋简体" w:hAnsi="方正小标宋简体" w:eastAsia="方正小标宋简体" w:cs="方正小标宋简体"/>
          <w:snapToGrid w:val="0"/>
          <w:color w:val="000000" w:themeColor="text1"/>
          <w:sz w:val="44"/>
          <w:szCs w:val="44"/>
          <w:u w:val="none"/>
          <w:lang w:bidi="ar-SA"/>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z w:val="44"/>
          <w:szCs w:val="44"/>
          <w:u w:val="none"/>
          <w:lang w:bidi="ar-SA"/>
          <w14:textFill>
            <w14:solidFill>
              <w14:schemeClr w14:val="tx1"/>
            </w14:solidFill>
          </w14:textFill>
        </w:rPr>
        <w:t>通</w:t>
      </w:r>
      <w:r>
        <w:rPr>
          <w:rFonts w:hint="eastAsia" w:ascii="方正小标宋简体" w:hAnsi="方正小标宋简体" w:eastAsia="方正小标宋简体" w:cs="方正小标宋简体"/>
          <w:snapToGrid w:val="0"/>
          <w:color w:val="000000" w:themeColor="text1"/>
          <w:sz w:val="44"/>
          <w:szCs w:val="44"/>
          <w:u w:val="none"/>
          <w:lang w:val="en-US" w:eastAsia="zh-CN" w:bidi="ar-SA"/>
          <w14:textFill>
            <w14:solidFill>
              <w14:schemeClr w14:val="tx1"/>
            </w14:solidFill>
          </w14:textFill>
        </w:rPr>
        <w:t xml:space="preserve">    </w:t>
      </w:r>
      <w:r>
        <w:rPr>
          <w:rFonts w:hint="eastAsia" w:ascii="方正小标宋简体" w:hAnsi="方正小标宋简体" w:eastAsia="方正小标宋简体" w:cs="方正小标宋简体"/>
          <w:snapToGrid w:val="0"/>
          <w:color w:val="000000" w:themeColor="text1"/>
          <w:sz w:val="44"/>
          <w:szCs w:val="44"/>
          <w:u w:val="none"/>
          <w:lang w:bidi="ar-SA"/>
          <w14:textFill>
            <w14:solidFill>
              <w14:schemeClr w14:val="tx1"/>
            </w14:solidFill>
          </w14:textFill>
        </w:rPr>
        <w:t>知</w:t>
      </w:r>
    </w:p>
    <w:p w14:paraId="35724C8A">
      <w:pPr>
        <w:keepNext w:val="0"/>
        <w:keepLines w:val="0"/>
        <w:pageBreakBefore w:val="0"/>
        <w:widowControl/>
        <w:kinsoku/>
        <w:wordWrap/>
        <w:overflowPunct w:val="0"/>
        <w:topLinePunct w:val="0"/>
        <w:autoSpaceDE w:val="0"/>
        <w:autoSpaceDN w:val="0"/>
        <w:bidi w:val="0"/>
        <w:adjustRightInd w:val="0"/>
        <w:snapToGrid w:val="0"/>
        <w:spacing w:after="0" w:line="560" w:lineRule="exact"/>
        <w:ind w:right="641"/>
        <w:jc w:val="center"/>
        <w:textAlignment w:val="baseline"/>
        <w:rPr>
          <w:rFonts w:hint="default" w:ascii="Times New Roman" w:hAnsi="Times New Roman" w:eastAsia="方正小标宋简体" w:cs="Times New Roman"/>
          <w:snapToGrid w:val="0"/>
          <w:color w:val="000000" w:themeColor="text1"/>
          <w:sz w:val="44"/>
          <w:szCs w:val="44"/>
          <w:u w:val="none"/>
          <w:lang w:bidi="ar-SA"/>
          <w14:textFill>
            <w14:solidFill>
              <w14:schemeClr w14:val="tx1"/>
            </w14:solidFill>
          </w14:textFill>
        </w:rPr>
      </w:pPr>
    </w:p>
    <w:p w14:paraId="56762421">
      <w:pPr>
        <w:keepNext w:val="0"/>
        <w:keepLines w:val="0"/>
        <w:pageBreakBefore w:val="0"/>
        <w:widowControl/>
        <w:kinsoku/>
        <w:wordWrap/>
        <w:overflowPunct w:val="0"/>
        <w:topLinePunct w:val="0"/>
        <w:autoSpaceDE w:val="0"/>
        <w:autoSpaceDN w:val="0"/>
        <w:bidi w:val="0"/>
        <w:adjustRightInd w:val="0"/>
        <w:snapToGrid w:val="0"/>
        <w:spacing w:after="0" w:line="560" w:lineRule="exact"/>
        <w:jc w:val="both"/>
        <w:textAlignment w:val="baseline"/>
        <w:rPr>
          <w:rFonts w:hint="default" w:ascii="Times New Roman" w:hAnsi="Times New Roman" w:eastAsia="仿宋_GB2312" w:cs="Times New Roman"/>
          <w:snapToGrid w:val="0"/>
          <w:color w:val="000000" w:themeColor="text1"/>
          <w:sz w:val="32"/>
          <w:szCs w:val="21"/>
          <w:u w:val="none"/>
          <w:lang w:bidi="ar-SA"/>
          <w14:textFill>
            <w14:solidFill>
              <w14:schemeClr w14:val="tx1"/>
            </w14:solidFill>
          </w14:textFill>
        </w:rPr>
      </w:pPr>
      <w:r>
        <w:rPr>
          <w:rFonts w:hint="default" w:ascii="Times New Roman" w:hAnsi="Times New Roman" w:eastAsia="仿宋_GB2312" w:cs="Times New Roman"/>
          <w:snapToGrid w:val="0"/>
          <w:color w:val="000000" w:themeColor="text1"/>
          <w:sz w:val="32"/>
          <w:szCs w:val="21"/>
          <w:u w:val="none"/>
          <w:lang w:eastAsia="zh-CN" w:bidi="ar-SA"/>
          <w14:textFill>
            <w14:solidFill>
              <w14:schemeClr w14:val="tx1"/>
            </w14:solidFill>
          </w14:textFill>
        </w:rPr>
        <w:t>各</w:t>
      </w:r>
      <w:r>
        <w:rPr>
          <w:rFonts w:hint="eastAsia" w:ascii="Times New Roman" w:hAnsi="Times New Roman" w:eastAsia="仿宋_GB2312" w:cs="Times New Roman"/>
          <w:snapToGrid w:val="0"/>
          <w:color w:val="000000" w:themeColor="text1"/>
          <w:sz w:val="32"/>
          <w:szCs w:val="21"/>
          <w:u w:val="none"/>
          <w:lang w:val="en-US" w:eastAsia="zh-CN" w:bidi="ar-SA"/>
          <w14:textFill>
            <w14:solidFill>
              <w14:schemeClr w14:val="tx1"/>
            </w14:solidFill>
          </w14:textFill>
        </w:rPr>
        <w:t>乡镇（街道办事处）</w:t>
      </w:r>
      <w:r>
        <w:rPr>
          <w:rFonts w:hint="default" w:ascii="Times New Roman" w:hAnsi="Times New Roman" w:eastAsia="仿宋_GB2312" w:cs="Times New Roman"/>
          <w:snapToGrid w:val="0"/>
          <w:color w:val="000000" w:themeColor="text1"/>
          <w:sz w:val="32"/>
          <w:szCs w:val="21"/>
          <w:u w:val="none"/>
          <w:lang w:eastAsia="zh-CN" w:bidi="ar-SA"/>
          <w14:textFill>
            <w14:solidFill>
              <w14:schemeClr w14:val="tx1"/>
            </w14:solidFill>
          </w14:textFill>
        </w:rPr>
        <w:t>人民政府</w:t>
      </w:r>
      <w:r>
        <w:rPr>
          <w:rFonts w:hint="eastAsia" w:ascii="Times New Roman" w:hAnsi="Times New Roman" w:eastAsia="仿宋_GB2312" w:cs="Times New Roman"/>
          <w:snapToGrid w:val="0"/>
          <w:color w:val="000000" w:themeColor="text1"/>
          <w:sz w:val="32"/>
          <w:szCs w:val="21"/>
          <w:u w:val="none"/>
          <w:lang w:eastAsia="zh-CN" w:bidi="ar-SA"/>
          <w14:textFill>
            <w14:solidFill>
              <w14:schemeClr w14:val="tx1"/>
            </w14:solidFill>
          </w14:textFill>
        </w:rPr>
        <w:t>食安办</w:t>
      </w:r>
      <w:r>
        <w:rPr>
          <w:rFonts w:hint="default" w:ascii="Times New Roman" w:hAnsi="Times New Roman" w:eastAsia="仿宋_GB2312" w:cs="Times New Roman"/>
          <w:snapToGrid w:val="0"/>
          <w:color w:val="000000" w:themeColor="text1"/>
          <w:sz w:val="32"/>
          <w:szCs w:val="21"/>
          <w:u w:val="none"/>
          <w:lang w:eastAsia="zh-CN" w:bidi="ar-SA"/>
          <w14:textFill>
            <w14:solidFill>
              <w14:schemeClr w14:val="tx1"/>
            </w14:solidFill>
          </w14:textFill>
        </w:rPr>
        <w:t>、</w:t>
      </w:r>
      <w:r>
        <w:rPr>
          <w:rFonts w:hint="eastAsia" w:ascii="Times New Roman" w:hAnsi="Times New Roman" w:eastAsia="仿宋_GB2312" w:cs="Times New Roman"/>
          <w:snapToGrid w:val="0"/>
          <w:color w:val="000000" w:themeColor="text1"/>
          <w:sz w:val="32"/>
          <w:szCs w:val="21"/>
          <w:u w:val="none"/>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z w:val="32"/>
          <w:szCs w:val="21"/>
          <w:u w:val="none"/>
          <w:lang w:bidi="ar-SA"/>
          <w14:textFill>
            <w14:solidFill>
              <w14:schemeClr w14:val="tx1"/>
            </w14:solidFill>
          </w14:textFill>
        </w:rPr>
        <w:t>政府食品安全委员会各成员单位</w:t>
      </w:r>
      <w:r>
        <w:rPr>
          <w:rFonts w:hint="default" w:ascii="Times New Roman" w:hAnsi="Times New Roman" w:eastAsia="仿宋_GB2312" w:cs="Times New Roman"/>
          <w:snapToGrid w:val="0"/>
          <w:color w:val="000000" w:themeColor="text1"/>
          <w:sz w:val="32"/>
          <w:szCs w:val="21"/>
          <w:u w:val="none"/>
          <w:lang w:eastAsia="zh-CN" w:bidi="ar-SA"/>
          <w14:textFill>
            <w14:solidFill>
              <w14:schemeClr w14:val="tx1"/>
            </w14:solidFill>
          </w14:textFill>
        </w:rPr>
        <w:t>，</w:t>
      </w:r>
      <w:r>
        <w:rPr>
          <w:rFonts w:hint="eastAsia" w:ascii="Times New Roman" w:hAnsi="Times New Roman" w:eastAsia="仿宋_GB2312" w:cs="Times New Roman"/>
          <w:snapToGrid w:val="0"/>
          <w:color w:val="000000" w:themeColor="text1"/>
          <w:sz w:val="32"/>
          <w:szCs w:val="21"/>
          <w:u w:val="none"/>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z w:val="32"/>
          <w:szCs w:val="21"/>
          <w:u w:val="none"/>
          <w:lang w:eastAsia="zh-CN" w:bidi="ar-SA"/>
          <w14:textFill>
            <w14:solidFill>
              <w14:schemeClr w14:val="tx1"/>
            </w14:solidFill>
          </w14:textFill>
        </w:rPr>
        <w:t>法院、检察院、机关事务中心、农科</w:t>
      </w:r>
      <w:r>
        <w:rPr>
          <w:rFonts w:hint="eastAsia" w:ascii="Times New Roman" w:hAnsi="Times New Roman" w:eastAsia="仿宋_GB2312" w:cs="Times New Roman"/>
          <w:snapToGrid w:val="0"/>
          <w:color w:val="000000" w:themeColor="text1"/>
          <w:sz w:val="32"/>
          <w:szCs w:val="21"/>
          <w:u w:val="none"/>
          <w:lang w:val="en-US" w:eastAsia="zh-CN" w:bidi="ar-SA"/>
          <w14:textFill>
            <w14:solidFill>
              <w14:schemeClr w14:val="tx1"/>
            </w14:solidFill>
          </w14:textFill>
        </w:rPr>
        <w:t>所</w:t>
      </w:r>
      <w:r>
        <w:rPr>
          <w:rFonts w:hint="default" w:ascii="Times New Roman" w:hAnsi="Times New Roman" w:eastAsia="仿宋_GB2312" w:cs="Times New Roman"/>
          <w:snapToGrid w:val="0"/>
          <w:color w:val="000000" w:themeColor="text1"/>
          <w:sz w:val="32"/>
          <w:szCs w:val="21"/>
          <w:u w:val="none"/>
          <w:lang w:eastAsia="zh-CN" w:bidi="ar-SA"/>
          <w14:textFill>
            <w14:solidFill>
              <w14:schemeClr w14:val="tx1"/>
            </w14:solidFill>
          </w14:textFill>
        </w:rPr>
        <w:t>：</w:t>
      </w:r>
    </w:p>
    <w:p w14:paraId="6C85CE92">
      <w:pPr>
        <w:keepNext w:val="0"/>
        <w:keepLines w:val="0"/>
        <w:pageBreakBefore w:val="0"/>
        <w:widowControl/>
        <w:kinsoku/>
        <w:wordWrap/>
        <w:overflowPunct w:val="0"/>
        <w:topLinePunct w:val="0"/>
        <w:autoSpaceDE w:val="0"/>
        <w:autoSpaceDN w:val="0"/>
        <w:bidi w:val="0"/>
        <w:adjustRightInd w:val="0"/>
        <w:snapToGrid w:val="0"/>
        <w:spacing w:after="0" w:line="560" w:lineRule="exact"/>
        <w:ind w:firstLine="640" w:firstLineChars="200"/>
        <w:jc w:val="both"/>
        <w:textAlignment w:val="baseline"/>
        <w:rPr>
          <w:rFonts w:hint="default" w:ascii="Times New Roman" w:hAnsi="Times New Roman" w:eastAsia="仿宋_GB2312" w:cs="Times New Roman"/>
          <w:snapToGrid w:val="0"/>
          <w:color w:val="000000" w:themeColor="text1"/>
          <w:sz w:val="32"/>
          <w:szCs w:val="21"/>
          <w:u w:val="none"/>
          <w:lang w:bidi="ar-SA"/>
          <w14:textFill>
            <w14:solidFill>
              <w14:schemeClr w14:val="tx1"/>
            </w14:solidFill>
          </w14:textFill>
        </w:rPr>
      </w:pPr>
      <w:r>
        <w:rPr>
          <w:rFonts w:hint="default" w:ascii="Times New Roman" w:hAnsi="Times New Roman" w:eastAsia="仿宋_GB2312" w:cs="Times New Roman"/>
          <w:snapToGrid w:val="0"/>
          <w:color w:val="000000" w:themeColor="text1"/>
          <w:sz w:val="32"/>
          <w:szCs w:val="21"/>
          <w:u w:val="none"/>
          <w:lang w:bidi="ar-SA"/>
          <w14:textFill>
            <w14:solidFill>
              <w14:schemeClr w14:val="tx1"/>
            </w14:solidFill>
          </w14:textFill>
        </w:rPr>
        <w:t>《2024年</w:t>
      </w:r>
      <w:r>
        <w:rPr>
          <w:rFonts w:hint="eastAsia" w:ascii="Times New Roman" w:hAnsi="Times New Roman" w:eastAsia="仿宋_GB2312" w:cs="Times New Roman"/>
          <w:snapToGrid w:val="0"/>
          <w:color w:val="000000" w:themeColor="text1"/>
          <w:sz w:val="32"/>
          <w:szCs w:val="21"/>
          <w:u w:val="none"/>
          <w:lang w:val="en-US" w:eastAsia="zh-CN" w:bidi="ar-SA"/>
          <w14:textFill>
            <w14:solidFill>
              <w14:schemeClr w14:val="tx1"/>
            </w14:solidFill>
          </w14:textFill>
        </w:rPr>
        <w:t>罗山县</w:t>
      </w:r>
      <w:r>
        <w:rPr>
          <w:rFonts w:hint="default" w:ascii="Times New Roman" w:hAnsi="Times New Roman" w:eastAsia="仿宋_GB2312" w:cs="Times New Roman"/>
          <w:snapToGrid w:val="0"/>
          <w:color w:val="000000" w:themeColor="text1"/>
          <w:sz w:val="32"/>
          <w:szCs w:val="21"/>
          <w:u w:val="none"/>
          <w:lang w:bidi="ar-SA"/>
          <w14:textFill>
            <w14:solidFill>
              <w14:schemeClr w14:val="tx1"/>
            </w14:solidFill>
          </w14:textFill>
        </w:rPr>
        <w:t>食品安全工作要点》</w:t>
      </w:r>
      <w:r>
        <w:rPr>
          <w:rFonts w:hint="eastAsia" w:ascii="宋体" w:hAnsi="宋体" w:eastAsia="仿宋_GB2312" w:cs="Arial"/>
          <w:snapToGrid w:val="0"/>
          <w:color w:val="000000" w:themeColor="text1"/>
          <w:sz w:val="32"/>
          <w:szCs w:val="32"/>
          <w:u w:val="none"/>
          <w:lang w:bidi="ar-SA"/>
          <w14:textFill>
            <w14:solidFill>
              <w14:schemeClr w14:val="tx1"/>
            </w14:solidFill>
          </w14:textFill>
        </w:rPr>
        <w:t>已经</w:t>
      </w:r>
      <w:r>
        <w:rPr>
          <w:rFonts w:hint="eastAsia" w:ascii="宋体" w:hAnsi="宋体" w:eastAsia="仿宋_GB2312" w:cs="Arial"/>
          <w:snapToGrid w:val="0"/>
          <w:color w:val="000000" w:themeColor="text1"/>
          <w:sz w:val="32"/>
          <w:szCs w:val="32"/>
          <w:u w:val="none"/>
          <w:lang w:val="en-US" w:eastAsia="zh-CN" w:bidi="ar-SA"/>
          <w14:textFill>
            <w14:solidFill>
              <w14:schemeClr w14:val="tx1"/>
            </w14:solidFill>
          </w14:textFill>
        </w:rPr>
        <w:t>县</w:t>
      </w:r>
      <w:r>
        <w:rPr>
          <w:rFonts w:hint="eastAsia" w:ascii="宋体" w:hAnsi="宋体" w:eastAsia="仿宋_GB2312" w:cs="Arial"/>
          <w:snapToGrid w:val="0"/>
          <w:color w:val="000000" w:themeColor="text1"/>
          <w:sz w:val="32"/>
          <w:szCs w:val="32"/>
          <w:u w:val="none"/>
          <w:lang w:bidi="ar-SA"/>
          <w14:textFill>
            <w14:solidFill>
              <w14:schemeClr w14:val="tx1"/>
            </w14:solidFill>
          </w14:textFill>
        </w:rPr>
        <w:t>政府同意</w:t>
      </w:r>
      <w:r>
        <w:rPr>
          <w:rFonts w:hint="eastAsia" w:ascii="宋体" w:hAnsi="宋体" w:eastAsia="仿宋_GB2312" w:cs="Arial"/>
          <w:snapToGrid w:val="0"/>
          <w:color w:val="000000" w:themeColor="text1"/>
          <w:sz w:val="32"/>
          <w:szCs w:val="32"/>
          <w:u w:val="none"/>
          <w:lang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sz w:val="32"/>
          <w:szCs w:val="21"/>
          <w:u w:val="none"/>
          <w:lang w:bidi="ar-SA"/>
          <w14:textFill>
            <w14:solidFill>
              <w14:schemeClr w14:val="tx1"/>
            </w14:solidFill>
          </w14:textFill>
        </w:rPr>
        <w:t>现印发</w:t>
      </w:r>
      <w:r>
        <w:rPr>
          <w:rFonts w:hint="default" w:ascii="Times New Roman" w:hAnsi="Times New Roman" w:eastAsia="仿宋_GB2312" w:cs="Times New Roman"/>
          <w:snapToGrid w:val="0"/>
          <w:color w:val="000000" w:themeColor="text1"/>
          <w:sz w:val="32"/>
          <w:szCs w:val="21"/>
          <w:u w:val="none"/>
          <w:lang w:eastAsia="zh-CN" w:bidi="ar-SA"/>
          <w14:textFill>
            <w14:solidFill>
              <w14:schemeClr w14:val="tx1"/>
            </w14:solidFill>
          </w14:textFill>
        </w:rPr>
        <w:t>给你们</w:t>
      </w:r>
      <w:r>
        <w:rPr>
          <w:rFonts w:hint="default" w:ascii="Times New Roman" w:hAnsi="Times New Roman" w:eastAsia="仿宋_GB2312" w:cs="Times New Roman"/>
          <w:snapToGrid w:val="0"/>
          <w:color w:val="000000" w:themeColor="text1"/>
          <w:sz w:val="32"/>
          <w:szCs w:val="21"/>
          <w:u w:val="none"/>
          <w:lang w:bidi="ar-SA"/>
          <w14:textFill>
            <w14:solidFill>
              <w14:schemeClr w14:val="tx1"/>
            </w14:solidFill>
          </w14:textFill>
        </w:rPr>
        <w:t>，请认真遵照执行。</w:t>
      </w:r>
    </w:p>
    <w:p w14:paraId="63C779EE">
      <w:pPr>
        <w:keepNext w:val="0"/>
        <w:keepLines w:val="0"/>
        <w:pageBreakBefore w:val="0"/>
        <w:widowControl/>
        <w:kinsoku/>
        <w:wordWrap/>
        <w:overflowPunct w:val="0"/>
        <w:topLinePunct w:val="0"/>
        <w:autoSpaceDE w:val="0"/>
        <w:autoSpaceDN w:val="0"/>
        <w:bidi w:val="0"/>
        <w:adjustRightInd w:val="0"/>
        <w:snapToGrid w:val="0"/>
        <w:spacing w:after="0" w:line="560" w:lineRule="exact"/>
        <w:textAlignment w:val="baseline"/>
        <w:rPr>
          <w:rFonts w:hint="default" w:ascii="Times New Roman" w:hAnsi="Times New Roman" w:eastAsia="仿宋_GB2312" w:cs="Times New Roman"/>
          <w:snapToGrid w:val="0"/>
          <w:color w:val="000000" w:themeColor="text1"/>
          <w:sz w:val="32"/>
          <w:szCs w:val="21"/>
          <w:u w:val="none"/>
          <w:lang w:bidi="ar-SA"/>
          <w14:textFill>
            <w14:solidFill>
              <w14:schemeClr w14:val="tx1"/>
            </w14:solidFill>
          </w14:textFill>
        </w:rPr>
      </w:pPr>
    </w:p>
    <w:p w14:paraId="4C17DC98">
      <w:pPr>
        <w:keepNext w:val="0"/>
        <w:keepLines w:val="0"/>
        <w:pageBreakBefore w:val="0"/>
        <w:widowControl/>
        <w:kinsoku/>
        <w:wordWrap/>
        <w:overflowPunct w:val="0"/>
        <w:topLinePunct w:val="0"/>
        <w:autoSpaceDE w:val="0"/>
        <w:autoSpaceDN w:val="0"/>
        <w:bidi w:val="0"/>
        <w:adjustRightInd w:val="0"/>
        <w:snapToGrid w:val="0"/>
        <w:spacing w:after="0" w:line="560" w:lineRule="exact"/>
        <w:textAlignment w:val="baseline"/>
        <w:rPr>
          <w:rFonts w:hint="default" w:ascii="Times New Roman" w:hAnsi="Times New Roman" w:eastAsia="仿宋_GB2312" w:cs="Times New Roman"/>
          <w:snapToGrid w:val="0"/>
          <w:color w:val="000000" w:themeColor="text1"/>
          <w:sz w:val="32"/>
          <w:szCs w:val="21"/>
          <w:u w:val="none"/>
          <w:lang w:bidi="ar-SA"/>
          <w14:textFill>
            <w14:solidFill>
              <w14:schemeClr w14:val="tx1"/>
            </w14:solidFill>
          </w14:textFill>
        </w:rPr>
      </w:pPr>
    </w:p>
    <w:p w14:paraId="309979D7">
      <w:pPr>
        <w:keepNext w:val="0"/>
        <w:keepLines w:val="0"/>
        <w:pageBreakBefore w:val="0"/>
        <w:widowControl/>
        <w:kinsoku/>
        <w:wordWrap/>
        <w:overflowPunct w:val="0"/>
        <w:topLinePunct w:val="0"/>
        <w:autoSpaceDE w:val="0"/>
        <w:autoSpaceDN w:val="0"/>
        <w:bidi w:val="0"/>
        <w:adjustRightInd w:val="0"/>
        <w:snapToGrid w:val="0"/>
        <w:spacing w:after="0" w:line="560" w:lineRule="exact"/>
        <w:ind w:firstLine="6080" w:firstLineChars="1900"/>
        <w:jc w:val="both"/>
        <w:textAlignment w:val="baseline"/>
        <w:rPr>
          <w:rFonts w:hint="default" w:ascii="Times New Roman" w:hAnsi="Times New Roman" w:eastAsia="仿宋_GB2312" w:cs="Times New Roman"/>
          <w:snapToGrid w:val="0"/>
          <w:color w:val="000000" w:themeColor="text1"/>
          <w:sz w:val="32"/>
          <w:szCs w:val="21"/>
          <w:u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32"/>
          <w:szCs w:val="21"/>
          <w:u w:val="none"/>
          <w:lang w:bidi="ar-SA"/>
          <w14:textFill>
            <w14:solidFill>
              <w14:schemeClr w14:val="tx1"/>
            </w14:solidFill>
          </w14:textFill>
        </w:rPr>
        <w:t>20</w:t>
      </w:r>
      <w:r>
        <w:rPr>
          <w:rFonts w:hint="eastAsia" w:ascii="仿宋_GB2312" w:hAnsi="仿宋_GB2312" w:eastAsia="仿宋_GB2312" w:cs="仿宋_GB2312"/>
          <w:snapToGrid w:val="0"/>
          <w:color w:val="000000" w:themeColor="text1"/>
          <w:sz w:val="32"/>
          <w:szCs w:val="21"/>
          <w:u w:val="none"/>
          <w:lang w:val="en-US" w:eastAsia="zh-CN" w:bidi="ar-SA"/>
          <w14:textFill>
            <w14:solidFill>
              <w14:schemeClr w14:val="tx1"/>
            </w14:solidFill>
          </w14:textFill>
        </w:rPr>
        <w:t>24</w:t>
      </w:r>
      <w:r>
        <w:rPr>
          <w:rFonts w:hint="eastAsia" w:ascii="仿宋_GB2312" w:hAnsi="仿宋_GB2312" w:eastAsia="仿宋_GB2312" w:cs="仿宋_GB2312"/>
          <w:snapToGrid w:val="0"/>
          <w:color w:val="000000" w:themeColor="text1"/>
          <w:sz w:val="32"/>
          <w:szCs w:val="21"/>
          <w:u w:val="none"/>
          <w:lang w:bidi="ar-SA"/>
          <w14:textFill>
            <w14:solidFill>
              <w14:schemeClr w14:val="tx1"/>
            </w14:solidFill>
          </w14:textFill>
        </w:rPr>
        <w:t>年</w:t>
      </w:r>
      <w:r>
        <w:rPr>
          <w:rFonts w:hint="eastAsia" w:ascii="仿宋_GB2312" w:hAnsi="仿宋_GB2312" w:eastAsia="仿宋_GB2312" w:cs="仿宋_GB2312"/>
          <w:snapToGrid w:val="0"/>
          <w:color w:val="000000" w:themeColor="text1"/>
          <w:sz w:val="32"/>
          <w:szCs w:val="21"/>
          <w:u w:val="none"/>
          <w:lang w:val="en-US" w:eastAsia="zh-CN" w:bidi="ar-SA"/>
          <w14:textFill>
            <w14:solidFill>
              <w14:schemeClr w14:val="tx1"/>
            </w14:solidFill>
          </w14:textFill>
        </w:rPr>
        <w:t>7</w:t>
      </w:r>
      <w:r>
        <w:rPr>
          <w:rFonts w:hint="eastAsia" w:ascii="仿宋_GB2312" w:hAnsi="仿宋_GB2312" w:eastAsia="仿宋_GB2312" w:cs="仿宋_GB2312"/>
          <w:snapToGrid w:val="0"/>
          <w:color w:val="000000" w:themeColor="text1"/>
          <w:sz w:val="32"/>
          <w:szCs w:val="21"/>
          <w:u w:val="none"/>
          <w:lang w:bidi="ar-SA"/>
          <w14:textFill>
            <w14:solidFill>
              <w14:schemeClr w14:val="tx1"/>
            </w14:solidFill>
          </w14:textFill>
        </w:rPr>
        <w:t>月</w:t>
      </w:r>
      <w:r>
        <w:rPr>
          <w:rFonts w:hint="eastAsia" w:ascii="仿宋_GB2312" w:hAnsi="仿宋_GB2312" w:eastAsia="仿宋_GB2312" w:cs="仿宋_GB2312"/>
          <w:snapToGrid w:val="0"/>
          <w:color w:val="000000" w:themeColor="text1"/>
          <w:sz w:val="32"/>
          <w:szCs w:val="21"/>
          <w:u w:val="none"/>
          <w:lang w:val="en-US" w:eastAsia="zh-CN" w:bidi="ar-SA"/>
          <w14:textFill>
            <w14:solidFill>
              <w14:schemeClr w14:val="tx1"/>
            </w14:solidFill>
          </w14:textFill>
        </w:rPr>
        <w:t>8</w:t>
      </w:r>
      <w:r>
        <w:rPr>
          <w:rFonts w:hint="eastAsia" w:ascii="仿宋_GB2312" w:hAnsi="仿宋_GB2312" w:eastAsia="仿宋_GB2312" w:cs="仿宋_GB2312"/>
          <w:snapToGrid w:val="0"/>
          <w:color w:val="000000" w:themeColor="text1"/>
          <w:sz w:val="32"/>
          <w:szCs w:val="21"/>
          <w:u w:val="none"/>
          <w:lang w:bidi="ar-SA"/>
          <w14:textFill>
            <w14:solidFill>
              <w14:schemeClr w14:val="tx1"/>
            </w14:solidFill>
          </w14:textFill>
        </w:rPr>
        <w:t>日</w:t>
      </w:r>
      <w:r>
        <w:rPr>
          <w:rFonts w:hint="default" w:ascii="Times New Roman" w:hAnsi="Times New Roman" w:eastAsia="仿宋_GB2312" w:cs="Times New Roman"/>
          <w:snapToGrid w:val="0"/>
          <w:color w:val="000000" w:themeColor="text1"/>
          <w:sz w:val="32"/>
          <w:szCs w:val="21"/>
          <w:u w:val="none"/>
          <w:lang w:val="en-US" w:eastAsia="zh-CN" w:bidi="ar-SA"/>
          <w14:textFill>
            <w14:solidFill>
              <w14:schemeClr w14:val="tx1"/>
            </w14:solidFill>
          </w14:textFill>
        </w:rPr>
        <w:t xml:space="preserve">   </w:t>
      </w:r>
    </w:p>
    <w:p w14:paraId="3EDCAED5">
      <w:pPr>
        <w:keepNext w:val="0"/>
        <w:keepLines w:val="0"/>
        <w:pageBreakBefore w:val="0"/>
        <w:widowControl/>
        <w:kinsoku/>
        <w:wordWrap/>
        <w:topLinePunct w:val="0"/>
        <w:bidi w:val="0"/>
        <w:spacing w:line="560" w:lineRule="exact"/>
        <w:rPr>
          <w:rFonts w:hint="eastAsia" w:ascii="方正小标宋简体" w:hAnsi="方正小标宋简体" w:eastAsia="方正小标宋简体" w:cs="方正小标宋简体"/>
          <w:b w:val="0"/>
          <w:bCs/>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u w:val="none"/>
          <w:lang w:eastAsia="zh-CN"/>
          <w14:textFill>
            <w14:solidFill>
              <w14:schemeClr w14:val="tx1"/>
            </w14:solidFill>
          </w14:textFill>
        </w:rPr>
        <w:br w:type="page"/>
      </w:r>
    </w:p>
    <w:p w14:paraId="082A7DE3">
      <w:pPr>
        <w:pStyle w:val="2"/>
        <w:keepNext w:val="0"/>
        <w:keepLines w:val="0"/>
        <w:pageBreakBefore w:val="0"/>
        <w:widowControl/>
        <w:kinsoku/>
        <w:wordWrap/>
        <w:overflowPunct w:val="0"/>
        <w:topLinePunct/>
        <w:autoSpaceDE/>
        <w:autoSpaceDN/>
        <w:bidi w:val="0"/>
        <w:adjustRightInd/>
        <w:snapToGrid/>
        <w:spacing w:before="0" w:after="0" w:line="560" w:lineRule="exact"/>
        <w:jc w:val="center"/>
        <w:textAlignment w:val="auto"/>
        <w:rPr>
          <w:rFonts w:hint="default" w:asciiTheme="majorEastAsia" w:hAnsiTheme="majorEastAsia" w:eastAsiaTheme="majorEastAsia"/>
          <w:b/>
          <w:color w:val="000000" w:themeColor="text1"/>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lang w:eastAsia="zh-CN"/>
          <w14:textFill>
            <w14:solidFill>
              <w14:schemeClr w14:val="tx1"/>
            </w14:solidFill>
          </w14:textFill>
        </w:rPr>
        <w:t>2024年</w:t>
      </w: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罗山县</w:t>
      </w:r>
      <w:r>
        <w:rPr>
          <w:rFonts w:hint="eastAsia" w:ascii="方正小标宋简体" w:hAnsi="方正小标宋简体" w:eastAsia="方正小标宋简体" w:cs="方正小标宋简体"/>
          <w:b w:val="0"/>
          <w:bCs w:val="0"/>
          <w:color w:val="000000" w:themeColor="text1"/>
          <w:sz w:val="44"/>
          <w:szCs w:val="44"/>
          <w:u w:val="none"/>
          <w:lang w:eastAsia="zh-CN"/>
          <w14:textFill>
            <w14:solidFill>
              <w14:schemeClr w14:val="tx1"/>
            </w14:solidFill>
          </w14:textFill>
        </w:rPr>
        <w:t>食品安全工作要点</w:t>
      </w: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 xml:space="preserve"> </w:t>
      </w:r>
    </w:p>
    <w:p w14:paraId="6D9B5051">
      <w:pPr>
        <w:keepNext w:val="0"/>
        <w:keepLines w:val="0"/>
        <w:pageBreakBefore w:val="0"/>
        <w:widowControl/>
        <w:kinsoku/>
        <w:wordWrap/>
        <w:overflowPunct w:val="0"/>
        <w:topLinePunct/>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p>
    <w:p w14:paraId="2E09AFF2">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2024年，全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食品安全工作要坚持以习近平新时代中国特色社会主义思想为指导，坚持以“四个最严”为遵循，认真贯彻</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委、</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政府工作要求，</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深化</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“1335”工作布局，实施8项整治行动、强化6项安全治理、着力4项建设。以“两个责任”工作为抓手，提升站位，强化担当，聚焦问题，精准发力，为实现“美好生活看</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信阳</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”的宏伟蓝图作出积极贡献。</w:t>
      </w:r>
    </w:p>
    <w:p w14:paraId="4F75D88C">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szCs w:val="32"/>
          <w:u w:val="none"/>
          <w:lang w:eastAsia="zh-CN"/>
          <w14:textFill>
            <w14:solidFill>
              <w14:schemeClr w14:val="tx1"/>
            </w14:solidFill>
          </w14:textFill>
        </w:rPr>
      </w:pPr>
      <w:r>
        <w:rPr>
          <w:rFonts w:hint="eastAsia" w:ascii="黑体" w:hAnsi="黑体" w:eastAsia="黑体"/>
          <w:color w:val="000000" w:themeColor="text1"/>
          <w:sz w:val="32"/>
          <w:szCs w:val="32"/>
          <w:u w:val="none"/>
          <w:lang w:eastAsia="zh-CN"/>
          <w14:textFill>
            <w14:solidFill>
              <w14:schemeClr w14:val="tx1"/>
            </w14:solidFill>
          </w14:textFill>
        </w:rPr>
        <w:t>一、贴近百姓民生，实施“八项”整治行动</w:t>
      </w:r>
    </w:p>
    <w:p w14:paraId="2720EA70">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（一）开展信阳毛尖整治行动。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深入开展茶叶市场违法违规行为排查，</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依法保护“信阳毛尖”及“信阳毛尖”证明商标管理，严厉打击违法违规使用地理标志专用标识行为。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打击茶叶市场违法违规行为，聚焦规范茶叶生产经营行为和茶叶质量提升，查处一批违法案件，曝光一批典型案例，没收一批违法物资，惩处一批犯罪行为，形成市场震慑氛围。</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p>
    <w:p w14:paraId="76BA9891">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（二）开展新模式食品安全整治行动。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大力实施信阳菜和预制菜“321”工程，积极防范食品安全风险，推动预制菜产业规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模化和标准化生产，实现信阳菜和预制菜的高质量快速发展。</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文化广电旅游局）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强化跨境电商零售进口食品监管。</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商务局、</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聚焦新业态新模式存在的问题，制定专项抽检计划，确保食品安全风险隐患及时发现解决。</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p>
    <w:p w14:paraId="584E612D">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（三）开展食品假冒伪劣整治行动。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以农村地区、城乡结合部为主战场，严厉打击无证无照生产经营、非法添加非食用物质、制售不符合安全标准食品、未经检验检疫或检验检疫不合格的肉类等违法违规行为，坚决取缔“黑窝点”。严厉打击生产销售“山寨”食品、劣质食品、“三无”食品、超过保质期食品等违法行为。</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市场监管局、农业农村局、公安局按职责分工负责）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年底前，符合规范化建设标准的农村食品经营店达到80%以上，农村居民食品安全满意度第三方评价达到80%以上。</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市场监管局、农业农村局、民政局、商务局、供销合作社，各</w:t>
      </w:r>
      <w:r>
        <w:rPr>
          <w:rFonts w:hint="eastAsia" w:ascii="楷体" w:hAnsi="楷体" w:eastAsia="楷体" w:cs="楷体"/>
          <w:color w:val="000000" w:themeColor="text1"/>
          <w:sz w:val="32"/>
          <w:szCs w:val="32"/>
          <w:u w:val="none"/>
          <w:lang w:val="en-US" w:eastAsia="zh-CN"/>
          <w14:textFill>
            <w14:solidFill>
              <w14:schemeClr w14:val="tx1"/>
            </w14:solidFill>
          </w14:textFill>
        </w:rPr>
        <w:t>乡镇（街道办事处）</w:t>
      </w:r>
      <w:r>
        <w:rPr>
          <w:rFonts w:hint="eastAsia" w:ascii="楷体" w:hAnsi="楷体" w:eastAsia="楷体" w:cs="楷体"/>
          <w:color w:val="000000" w:themeColor="text1"/>
          <w:sz w:val="32"/>
          <w:szCs w:val="32"/>
          <w:u w:val="none"/>
          <w:lang w:eastAsia="zh-CN"/>
          <w14:textFill>
            <w14:solidFill>
              <w14:schemeClr w14:val="tx1"/>
            </w14:solidFill>
          </w14:textFill>
        </w:rPr>
        <w:t>政府按职责分工负责）</w:t>
      </w:r>
    </w:p>
    <w:p w14:paraId="2E2316F0">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（四）开展农兽药残留问题集中整治行动。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实施农药减量增效行动、水产养殖用药减量行动、兽药抗菌药使用减量行动和“治违禁、控药残、促提升”三年行动，治理农药兽药残留超标问题。开展高毒高风险农药淘汰工作，将高毒农药禁用范围逐步扩大到所有食用农产品。加强农药兽药生产、销售企业监管，规范互联网经营。加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治理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豇豆、韭菜等品种农药残留问题。</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农业农村局）</w:t>
      </w:r>
    </w:p>
    <w:p w14:paraId="101FC30E">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（五）开展滥用食品添加剂和非法添加整治行动。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紧盯可能存在风险隐患的食品生产企业，以酱腌菜、肉制品等存在共性问题的品种为重点整治品种，以非法添加、超范围超限量使用食品添加剂为重点整治行为。</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市场监管局、公安局按职责分工负责）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摸排食用农产品“三前”环节防腐保鲜类物质使用情况，制定符合实际的使用清单，并推广应用和规范使用。</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农业农村局）</w:t>
      </w:r>
    </w:p>
    <w:p w14:paraId="52563770">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（六）开展集中用餐单位食品安全整治行动。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推动集中用餐单位及其承包经营企业管理明显规范，从业人员食品安全意识明显增强，环境卫生明显改善，重大食品安全事件明显减少，逐步建立长效制度机制，不断提升集中用餐单位食品安全水平。提升智慧监管水平，学校食堂“明厨亮灶”覆盖率力争达到100%；医疗机构、养老机构（用餐人数在300人以上或者供餐人数在500人以上）等各类食堂“明厨亮灶”覆盖率达到60%以上。鼓励运用互联网等信息化手段进行可视化监督，其中，学校食堂食品安全评价达标率达到100%，“互联网+明厨亮灶”覆盖率力争100%。严格食品经营许可管理，重点加强食品安全管理机构和人员、食品安全管理制度、设施设备布局、清洗消毒、环境卫生等项目审查和现场核查，积极推动实行“7S”管理模式。</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教育体育局、民政局、卫生健康委、市场监管局、机关事务中心按职责分工负责）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明确行业主管部门责任、食品安全监管责任以及集中用餐单位主体责任等，细化集中用餐单位制定承包经营企业的评价和退出管理机制，加强对食堂及承包者或委托经营者的日常管理和监督，定期考核评价，及时更换不符合要求的承包经营企业。</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政府食安办、</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教育体育局、民政局、卫生健康委、市场监管局、机关事务中心按职责分工负责）</w:t>
      </w:r>
    </w:p>
    <w:p w14:paraId="0015A3E2">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（七）开展保健食品行业专项清理整治行动。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保健食品生产经营者日常监督检查覆盖率达到100%。重点检查保健食品标签标识、宣传材料、广告等未经批准声称保健功能，以及不按照批准内容组织生产、擅自改变生产工艺、非法添加非食用物质（药物）等违法行为。广泛开展以老年人识骗、防骗为主要内容的宣传教育活动。加大联合执法力度，加大保健食品传销、违规直销整治力度，持续推进保健食品安全知识“七进”系列科普宣传活动，严厉打击以会议讲座、健康咨询、组织旅游等形式进行的保健食品欺诈和虚假宣传等违法行为。</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委宣传部、</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公安局、民政局、商务局、文化广电旅游局、卫生健康委，各</w:t>
      </w:r>
      <w:r>
        <w:rPr>
          <w:rFonts w:hint="eastAsia" w:ascii="楷体" w:hAnsi="楷体" w:eastAsia="楷体" w:cs="楷体"/>
          <w:color w:val="000000" w:themeColor="text1"/>
          <w:sz w:val="32"/>
          <w:szCs w:val="32"/>
          <w:u w:val="none"/>
          <w:lang w:val="en-US" w:eastAsia="zh-CN"/>
          <w14:textFill>
            <w14:solidFill>
              <w14:schemeClr w14:val="tx1"/>
            </w14:solidFill>
          </w14:textFill>
        </w:rPr>
        <w:t>乡镇（街道办事处）</w:t>
      </w:r>
      <w:r>
        <w:rPr>
          <w:rFonts w:hint="eastAsia" w:ascii="楷体" w:hAnsi="楷体" w:eastAsia="楷体" w:cs="楷体"/>
          <w:color w:val="000000" w:themeColor="text1"/>
          <w:sz w:val="32"/>
          <w:szCs w:val="32"/>
          <w:u w:val="none"/>
          <w:lang w:eastAsia="zh-CN"/>
          <w14:textFill>
            <w14:solidFill>
              <w14:schemeClr w14:val="tx1"/>
            </w14:solidFill>
          </w14:textFill>
        </w:rPr>
        <w:t>政府按职责分工负责）</w:t>
      </w:r>
    </w:p>
    <w:p w14:paraId="7CF4767D">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（八）开展“三小”治理提升行动。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依法推行登记备案管理，登记备案率达到100%。食品小经营店“6S”规范化建设覆盖率达到90%以上、食品小经营店（小餐饮）明厨亮灶建设覆盖率达到90%以上。推进小餐饮集中经营和食品小作坊产业园区建设，深入开展提升、创建活动，推进地方特色、名优产品生产加工小作坊规范化建设，全面提高</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我</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县地方特色食品影响力。</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市场监管局，各</w:t>
      </w:r>
      <w:r>
        <w:rPr>
          <w:rFonts w:hint="eastAsia" w:ascii="楷体" w:hAnsi="楷体" w:eastAsia="楷体" w:cs="楷体"/>
          <w:color w:val="000000" w:themeColor="text1"/>
          <w:sz w:val="32"/>
          <w:szCs w:val="32"/>
          <w:u w:val="none"/>
          <w:lang w:val="en-US" w:eastAsia="zh-CN"/>
          <w14:textFill>
            <w14:solidFill>
              <w14:schemeClr w14:val="tx1"/>
            </w14:solidFill>
          </w14:textFill>
        </w:rPr>
        <w:t>乡镇（街道办事处）</w:t>
      </w:r>
      <w:r>
        <w:rPr>
          <w:rFonts w:hint="eastAsia" w:ascii="楷体" w:hAnsi="楷体" w:eastAsia="楷体" w:cs="楷体"/>
          <w:color w:val="000000" w:themeColor="text1"/>
          <w:sz w:val="32"/>
          <w:szCs w:val="32"/>
          <w:u w:val="none"/>
          <w:lang w:eastAsia="zh-CN"/>
          <w14:textFill>
            <w14:solidFill>
              <w14:schemeClr w14:val="tx1"/>
            </w14:solidFill>
          </w14:textFill>
        </w:rPr>
        <w:t>政府按职责分工负责）</w:t>
      </w:r>
    </w:p>
    <w:p w14:paraId="297CFF57">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szCs w:val="32"/>
          <w:u w:val="none"/>
          <w:lang w:eastAsia="zh-CN"/>
          <w14:textFill>
            <w14:solidFill>
              <w14:schemeClr w14:val="tx1"/>
            </w14:solidFill>
          </w14:textFill>
        </w:rPr>
      </w:pPr>
      <w:r>
        <w:rPr>
          <w:rFonts w:hint="eastAsia" w:ascii="黑体" w:hAnsi="黑体" w:eastAsia="黑体"/>
          <w:color w:val="000000" w:themeColor="text1"/>
          <w:sz w:val="32"/>
          <w:szCs w:val="32"/>
          <w:u w:val="none"/>
          <w:lang w:eastAsia="zh-CN"/>
          <w14:textFill>
            <w14:solidFill>
              <w14:schemeClr w14:val="tx1"/>
            </w14:solidFill>
          </w14:textFill>
        </w:rPr>
        <w:t>二、加强全程监管，强化“六项”安全治理</w:t>
      </w:r>
    </w:p>
    <w:p w14:paraId="4B40943E">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（九）强化产地环境安全治理。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加强耕地土壤环境类别划分成果运用，强化耕地安全利用和风险管控，切实落实农用地土壤镉等重金属污染源头防治。对严格管控类耕地鼓励采取种植结构调整等风险管控措施，受污染耕地安全利用率达到95%。强化水污染治理，加强流域水污染防治、水生态保护修复等工作，推动不稳定达标断面河流综合治理。</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市</w:t>
      </w:r>
      <w:r>
        <w:rPr>
          <w:rFonts w:hint="eastAsia" w:ascii="楷体" w:hAnsi="楷体" w:eastAsia="楷体" w:cs="楷体"/>
          <w:color w:val="000000" w:themeColor="text1"/>
          <w:sz w:val="32"/>
          <w:szCs w:val="32"/>
          <w:u w:val="none"/>
          <w:lang w:eastAsia="zh-CN"/>
          <w14:textFill>
            <w14:solidFill>
              <w14:schemeClr w14:val="tx1"/>
            </w14:solidFill>
          </w14:textFill>
        </w:rPr>
        <w:t>生态环境局</w:t>
      </w:r>
      <w:r>
        <w:rPr>
          <w:rFonts w:hint="eastAsia" w:ascii="楷体" w:hAnsi="楷体" w:eastAsia="楷体" w:cs="楷体"/>
          <w:color w:val="000000" w:themeColor="text1"/>
          <w:sz w:val="32"/>
          <w:szCs w:val="32"/>
          <w:u w:val="none"/>
          <w:lang w:val="en-US" w:eastAsia="zh-CN"/>
          <w14:textFill>
            <w14:solidFill>
              <w14:schemeClr w14:val="tx1"/>
            </w14:solidFill>
          </w14:textFill>
        </w:rPr>
        <w:t>罗山县分局</w:t>
      </w:r>
      <w:r>
        <w:rPr>
          <w:rFonts w:hint="eastAsia" w:ascii="楷体" w:hAnsi="楷体" w:eastAsia="楷体" w:cs="楷体"/>
          <w:color w:val="000000" w:themeColor="text1"/>
          <w:sz w:val="32"/>
          <w:szCs w:val="32"/>
          <w:u w:val="none"/>
          <w:lang w:eastAsia="zh-CN"/>
          <w14:textFill>
            <w14:solidFill>
              <w14:schemeClr w14:val="tx1"/>
            </w14:solidFill>
          </w14:textFill>
        </w:rPr>
        <w:t>、农业农村局按职责分工负责）</w:t>
      </w:r>
    </w:p>
    <w:p w14:paraId="69180A1E">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（十）强化农产品源头安全治理。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加强农药减量增效、水产养殖用药减量、兽药抗菌药使用减量的治理，持续开展“治违禁、控药残、促提升”三年行动，治理农药兽药残留超标问题。开展高毒高风险农药淘汰工作，将高毒农药禁用范围逐步扩大到所有食用农产品。年底前，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开展兽药抗菌药使用减量行动的规模养殖场达35%以上；力争建立水产养殖用药减量模式推广点1个，推广点兽药使用量同比减少5%以上，抗生素类兽药使用量同比减少10%以上；农药兽药残留监督抽检合格率稳定在98%以上。限制使用农药氯化苦、磷化铝。深化落实规范畜禽养殖用药专项整治行动。强化畜禽屠宰环节质量安全监管。开展农资产品“净网行动”和“放心农资下乡进村活动”，持续推动农资打假工作。</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农业农村局）</w:t>
      </w:r>
    </w:p>
    <w:p w14:paraId="0EBCAD5D">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（十一）强化粮食质量安全治理。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开展粮食绿色仓储提升、粮食品种品质品牌提升、粮食质量追溯提升、粮食机械装备提升、粮食应急保障能力提升、粮食节约减损健康消费提升等“六大提升行动”。严禁不符合食品安全标准的粮食流入口粮市场和食品生产企业。扎实做好粮食收购和库存环节质量安全监测。</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粮食和物资储备局、发展改革委、财政局、自然资源和规划局、</w:t>
      </w:r>
      <w:r>
        <w:rPr>
          <w:rFonts w:hint="eastAsia" w:ascii="楷体" w:hAnsi="楷体" w:eastAsia="楷体" w:cs="楷体"/>
          <w:color w:val="000000" w:themeColor="text1"/>
          <w:sz w:val="32"/>
          <w:szCs w:val="32"/>
          <w:u w:val="none"/>
          <w:lang w:val="en-US" w:eastAsia="zh-CN"/>
          <w14:textFill>
            <w14:solidFill>
              <w14:schemeClr w14:val="tx1"/>
            </w14:solidFill>
          </w14:textFill>
        </w:rPr>
        <w:t>市</w:t>
      </w:r>
      <w:r>
        <w:rPr>
          <w:rFonts w:hint="eastAsia" w:ascii="楷体" w:hAnsi="楷体" w:eastAsia="楷体" w:cs="楷体"/>
          <w:color w:val="000000" w:themeColor="text1"/>
          <w:sz w:val="32"/>
          <w:szCs w:val="32"/>
          <w:u w:val="none"/>
          <w:lang w:eastAsia="zh-CN"/>
          <w14:textFill>
            <w14:solidFill>
              <w14:schemeClr w14:val="tx1"/>
            </w14:solidFill>
          </w14:textFill>
        </w:rPr>
        <w:t>生态环境局</w:t>
      </w:r>
      <w:r>
        <w:rPr>
          <w:rFonts w:hint="eastAsia" w:ascii="楷体" w:hAnsi="楷体" w:eastAsia="楷体" w:cs="楷体"/>
          <w:color w:val="000000" w:themeColor="text1"/>
          <w:sz w:val="32"/>
          <w:szCs w:val="32"/>
          <w:u w:val="none"/>
          <w:lang w:val="en-US" w:eastAsia="zh-CN"/>
          <w14:textFill>
            <w14:solidFill>
              <w14:schemeClr w14:val="tx1"/>
            </w14:solidFill>
          </w14:textFill>
        </w:rPr>
        <w:t>罗山县分局</w:t>
      </w:r>
      <w:r>
        <w:rPr>
          <w:rFonts w:hint="eastAsia" w:ascii="楷体" w:hAnsi="楷体" w:eastAsia="楷体" w:cs="楷体"/>
          <w:color w:val="000000" w:themeColor="text1"/>
          <w:sz w:val="32"/>
          <w:szCs w:val="32"/>
          <w:u w:val="none"/>
          <w:lang w:eastAsia="zh-CN"/>
          <w14:textFill>
            <w14:solidFill>
              <w14:schemeClr w14:val="tx1"/>
            </w14:solidFill>
          </w14:textFill>
        </w:rPr>
        <w:t>、农业农村局、市场监管局按职责分工负责）</w:t>
      </w:r>
    </w:p>
    <w:p w14:paraId="22023206">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（十二）强化食品生产加工质量安全治理。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开展“食品生产监督检查水平提升年”活动，重点督促企业严格环境卫生管理、严把原辅材料质量安全关、严把生产过程控制关、严把检验检测关，建立完善产品追溯体系。指导食品生产加工单位完善食品安全管理制度，100%配备食品安全总监、食品安全员，100%落实“日管控、周排查、月调度”制度。强化智慧监管，食用植物油等高风险食品生产加工小作坊“互联网+透明车间”应用率达到全覆盖。及时完善和更新行业、企业风险清单和整改措施清单。加强乳制品、肉制品、包装饮用水等重点品种专项整治，全面排查风险隐患。开展食品生产检查员能力培训，提升监督检查的专业化水平。根据食品生产企业风险等级确定监督检查频次，提高工作实效。组织开展食品生产许可证后检查专项行动，证后检查比例不低于新获证（换证）企业的25%。</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p>
    <w:p w14:paraId="6C09AAD2">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（十三）强化食品流通销售质量安全治理。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进一步健全完善食用农产品达标合格证问题通报协查机制。</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农业农村局、市场监管局按职责分工负责）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严格落实食用农产品集中交易市场主体责任，建立动态信息档案，全面实行公开承诺和自查评价报告制度，加快推进快检实验室建设；推行“检监联动”和“合格证”制度，强化食用农产品质量安全监管；运用“互联网+”和大数据等手段，建立重点农产品信息化追溯体系，全力打造智慧菜市，全面推进食用农产品市场食品安全规范化建设。通过培树典型、示范带动，促进</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全县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食用农产品市场整体水平提升。全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所有食用农产品集中交易市场需要100%达到规范化管理要求，食用农产品市场风险分级100%全覆盖。</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市场监管局、商务局、农业农村局，各</w:t>
      </w:r>
      <w:r>
        <w:rPr>
          <w:rFonts w:hint="eastAsia" w:ascii="楷体" w:hAnsi="楷体" w:eastAsia="楷体" w:cs="楷体"/>
          <w:color w:val="000000" w:themeColor="text1"/>
          <w:sz w:val="32"/>
          <w:szCs w:val="32"/>
          <w:u w:val="none"/>
          <w:lang w:val="en-US" w:eastAsia="zh-CN"/>
          <w14:textFill>
            <w14:solidFill>
              <w14:schemeClr w14:val="tx1"/>
            </w14:solidFill>
          </w14:textFill>
        </w:rPr>
        <w:t>乡镇（街道办事处）</w:t>
      </w:r>
      <w:r>
        <w:rPr>
          <w:rFonts w:hint="eastAsia" w:ascii="楷体" w:hAnsi="楷体" w:eastAsia="楷体" w:cs="楷体"/>
          <w:color w:val="000000" w:themeColor="text1"/>
          <w:sz w:val="32"/>
          <w:szCs w:val="32"/>
          <w:u w:val="none"/>
          <w:lang w:eastAsia="zh-CN"/>
          <w14:textFill>
            <w14:solidFill>
              <w14:schemeClr w14:val="tx1"/>
            </w14:solidFill>
          </w14:textFill>
        </w:rPr>
        <w:t>政府按职责分工负责）</w:t>
      </w:r>
    </w:p>
    <w:p w14:paraId="232843A4">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（十四）强化餐饮服务质量安全治理。</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开展“餐饮服务规范年”活动，督促餐饮服务单位落实《</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食品安全国家标准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餐饮服务通用卫生规范》。全面实施风险分级管理，从严开展执法检查，督促落实进货查验制度，加强餐饮具清洗消毒，规范后厨管理，提升后厨环境卫生水平。支持餐饮服务企业发展连锁经营和中央厨房，规范快餐、团餐等大众餐饮服务经营行为，提升餐饮行业标准化水平。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餐饮服务提供者“明厨亮灶”建设覆盖率达到90%，持续推进餐厨废弃物资源化利用和无害化处理，严格防范“地沟油”流入餐桌。</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市场监管局、发展改革委、工业和信息化局、民政局、城管局、商务局、卫生健康委、各</w:t>
      </w:r>
      <w:r>
        <w:rPr>
          <w:rFonts w:hint="eastAsia" w:ascii="楷体" w:hAnsi="楷体" w:eastAsia="楷体" w:cs="楷体"/>
          <w:color w:val="000000" w:themeColor="text1"/>
          <w:sz w:val="32"/>
          <w:szCs w:val="32"/>
          <w:u w:val="none"/>
          <w:lang w:val="en-US" w:eastAsia="zh-CN"/>
          <w14:textFill>
            <w14:solidFill>
              <w14:schemeClr w14:val="tx1"/>
            </w14:solidFill>
          </w14:textFill>
        </w:rPr>
        <w:t>乡镇（街道办事处）</w:t>
      </w:r>
      <w:r>
        <w:rPr>
          <w:rFonts w:hint="eastAsia" w:ascii="楷体" w:hAnsi="楷体" w:eastAsia="楷体" w:cs="楷体"/>
          <w:color w:val="000000" w:themeColor="text1"/>
          <w:sz w:val="32"/>
          <w:szCs w:val="32"/>
          <w:u w:val="none"/>
          <w:lang w:eastAsia="zh-CN"/>
          <w14:textFill>
            <w14:solidFill>
              <w14:schemeClr w14:val="tx1"/>
            </w14:solidFill>
          </w14:textFill>
        </w:rPr>
        <w:t>政府按职责分工负责）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全面实施网络食品（含特殊食品）经营第三方平台及其分支机构、代理商、合作商备案管理，压实食品安全主体责任。开展专项整治，规范网络直播带货行为，清理规范网络食品经营者主体资格。推广“网上明厨亮灶”，加强网络食品监督抽检、线上监测固证、线下调查处理，建立部门协作机制，保持网络食品监管高压态势，严厉打击网络食品经营违法犯罪行为</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委宣传部、</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委网信办、</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公安局、商务局、各</w:t>
      </w:r>
      <w:r>
        <w:rPr>
          <w:rFonts w:hint="eastAsia" w:ascii="楷体" w:hAnsi="楷体" w:eastAsia="楷体" w:cs="楷体"/>
          <w:color w:val="000000" w:themeColor="text1"/>
          <w:sz w:val="32"/>
          <w:szCs w:val="32"/>
          <w:u w:val="none"/>
          <w:lang w:val="en-US" w:eastAsia="zh-CN"/>
          <w14:textFill>
            <w14:solidFill>
              <w14:schemeClr w14:val="tx1"/>
            </w14:solidFill>
          </w14:textFill>
        </w:rPr>
        <w:t>乡镇（街道办事处））</w:t>
      </w:r>
      <w:r>
        <w:rPr>
          <w:rFonts w:hint="eastAsia" w:ascii="楷体" w:hAnsi="楷体" w:eastAsia="楷体" w:cs="楷体"/>
          <w:color w:val="000000" w:themeColor="text1"/>
          <w:sz w:val="32"/>
          <w:szCs w:val="32"/>
          <w:u w:val="none"/>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组织开展一次性餐饮具产品质量全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联动监督抽查。</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p>
    <w:p w14:paraId="0E446FDC">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szCs w:val="32"/>
          <w:u w:val="none"/>
          <w:lang w:eastAsia="zh-CN"/>
          <w14:textFill>
            <w14:solidFill>
              <w14:schemeClr w14:val="tx1"/>
            </w14:solidFill>
          </w14:textFill>
        </w:rPr>
      </w:pPr>
      <w:r>
        <w:rPr>
          <w:rFonts w:hint="eastAsia" w:ascii="黑体" w:hAnsi="黑体" w:eastAsia="黑体"/>
          <w:color w:val="000000" w:themeColor="text1"/>
          <w:sz w:val="32"/>
          <w:szCs w:val="32"/>
          <w:u w:val="none"/>
          <w:lang w:eastAsia="zh-CN"/>
          <w14:textFill>
            <w14:solidFill>
              <w14:schemeClr w14:val="tx1"/>
            </w14:solidFill>
          </w14:textFill>
        </w:rPr>
        <w:t>三、严格依法行政，遏制违法违规行为</w:t>
      </w:r>
    </w:p>
    <w:p w14:paraId="6CE776BF">
      <w:pPr>
        <w:keepNext w:val="0"/>
        <w:keepLines w:val="0"/>
        <w:pageBreakBefore w:val="0"/>
        <w:widowControl/>
        <w:kinsoku/>
        <w:wordWrap/>
        <w:overflowPunct w:val="0"/>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（十五）强化信用联合惩戒。</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引导食品企业开展诚信管理体系（CMS）评价工作，推动食品工业诚信体系建设。</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工业和信息化局）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强化信用约束和联合惩戒，深化经营主体信用体系建设，推动形成经营主体“不敢失信、不能失信、不想失信”信用监管新格局。将生产、销售有毒、有害食品案件当事人列入严重违法失信名单，纳入全国信用信息共享平台及国家企业信用信息公示系统。</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p>
    <w:p w14:paraId="3780E679">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（十六）严打违法犯罪行为。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强化责任担当，紧盯人民群众食品安全“急难愁盼”问题，依法严惩一批犯罪分子，斩断一批犯罪利益链条，指导推动全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各级政法机关依法严肃查处和惩治一批有影响的重大敏感案件。</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委政法委）</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深入组织开展“昆仑”系列专项行动，持续依法严打各类食品安全犯罪活动，协同有关部门加大整治力度，组织集中打击网络食品安全犯罪活动。</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公安局）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深入开展民生领域案件查办“铁拳”行动，依法严厉打击功能食品中非法添加麻醉剂和精神类药品、假冒伪劣化肥、利用不公平格式条款侵害消费者权益、假冒知名品牌及“傍名人”“搭便车”等违法行为。</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开展进口食品“国门守护”行动，严厉打击走私食品（含冻品）等违法犯罪活动。</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公安局、市场监管局按职责分工负责）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推动食品安全民事公益诉讼惩罚性赔偿制度不断完善，切实维护公共利益和消费者权益。</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检察院）</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加强行政执法和刑事司法衔接，及时公布典型案例，震慑违法犯罪分子。</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检察院、法院、农业农村局、市场监管局、公安局按职责分工负责）</w:t>
      </w:r>
    </w:p>
    <w:p w14:paraId="6294C5F0">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szCs w:val="32"/>
          <w:u w:val="none"/>
          <w:lang w:eastAsia="zh-CN"/>
          <w14:textFill>
            <w14:solidFill>
              <w14:schemeClr w14:val="tx1"/>
            </w14:solidFill>
          </w14:textFill>
        </w:rPr>
      </w:pPr>
      <w:r>
        <w:rPr>
          <w:rFonts w:hint="eastAsia" w:ascii="黑体" w:hAnsi="黑体" w:eastAsia="黑体"/>
          <w:color w:val="000000" w:themeColor="text1"/>
          <w:sz w:val="32"/>
          <w:szCs w:val="32"/>
          <w:u w:val="none"/>
          <w:lang w:eastAsia="zh-CN"/>
          <w14:textFill>
            <w14:solidFill>
              <w14:schemeClr w14:val="tx1"/>
            </w14:solidFill>
          </w14:textFill>
        </w:rPr>
        <w:t>四、突出示范引领，推进食品安全创建</w:t>
      </w:r>
    </w:p>
    <w:p w14:paraId="2EF7EE91">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（十七）持续推进“双安双创”工作。</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积极推动食品安全和农产品质量安全监管制度、监管方式和监管手段创新。要结合促进农业和食品产业转型升级，围绕食品添加剂不规范使用、微生物污染、农兽药残留、粮食霉菌污染、重金属污染等重点风险治理，创新监管制度，形成一套可推广、可借鉴、可示范的风险管控技术模式。要大力推广应用物联网、大数据等新技术，创新监管手段，提高监管效能。</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政府食安办、</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农业农村局，</w:t>
      </w:r>
      <w:r>
        <w:rPr>
          <w:rFonts w:hint="eastAsia" w:ascii="楷体" w:hAnsi="楷体" w:eastAsia="楷体" w:cs="楷体"/>
          <w:color w:val="000000" w:themeColor="text1"/>
          <w:sz w:val="32"/>
          <w:szCs w:val="32"/>
          <w:u w:val="none"/>
          <w:lang w:val="en-US" w:eastAsia="zh-CN"/>
          <w14:textFill>
            <w14:solidFill>
              <w14:schemeClr w14:val="tx1"/>
            </w14:solidFill>
          </w14:textFill>
        </w:rPr>
        <w:t>各政府相关部门</w:t>
      </w:r>
      <w:r>
        <w:rPr>
          <w:rFonts w:hint="eastAsia" w:ascii="楷体" w:hAnsi="楷体" w:eastAsia="楷体" w:cs="楷体"/>
          <w:color w:val="000000" w:themeColor="text1"/>
          <w:sz w:val="32"/>
          <w:szCs w:val="32"/>
          <w:u w:val="none"/>
          <w:lang w:eastAsia="zh-CN"/>
          <w14:textFill>
            <w14:solidFill>
              <w14:schemeClr w14:val="tx1"/>
            </w14:solidFill>
          </w14:textFill>
        </w:rPr>
        <w:t>按职责分工负责）</w:t>
      </w:r>
    </w:p>
    <w:p w14:paraId="0C1A9042">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szCs w:val="32"/>
          <w:u w:val="none"/>
          <w:lang w:eastAsia="zh-CN"/>
          <w14:textFill>
            <w14:solidFill>
              <w14:schemeClr w14:val="tx1"/>
            </w14:solidFill>
          </w14:textFill>
        </w:rPr>
      </w:pPr>
      <w:r>
        <w:rPr>
          <w:rFonts w:hint="eastAsia" w:ascii="黑体" w:hAnsi="黑体" w:eastAsia="黑体"/>
          <w:color w:val="000000" w:themeColor="text1"/>
          <w:sz w:val="32"/>
          <w:szCs w:val="32"/>
          <w:u w:val="none"/>
          <w:lang w:eastAsia="zh-CN"/>
          <w14:textFill>
            <w14:solidFill>
              <w14:schemeClr w14:val="tx1"/>
            </w14:solidFill>
          </w14:textFill>
        </w:rPr>
        <w:t>五、落实主体责任，助力产业高速发展</w:t>
      </w:r>
    </w:p>
    <w:p w14:paraId="607B57B1">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（十八）企业主体责任全覆盖。</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以“两个责任”为切入，督促指导食品生产经营企业严格执行《企业落实食品安全主体责任监督管理规定》，继续指导企业科学分析研判符合实际的食品安全风险，制定针对性的管控措施，明确责任人员，细化形成本企业的《食品安全风险管控清单》，年底前实现风险管控清单全覆盖。督促指导企业将“日管控、周排查、月调度”深度嵌入企业日常生产经营管理之中，对照《风险管控清单》开展全员全过程全链条风险管控，防止“两张皮”。业务培训全覆盖，督促指导食品生产经营企业按照《企业食品安全管理人员监督抽查考核大纲》开展食品安全总监和食品安全员培训；监督抽考全覆盖，指导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乡镇（街道办事处）</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按照《企业食品安全管理人员监督抽查考核指南》要求开展监督抽考工作。</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贯彻落实《农产品质量安全承诺达标合格证管理办法》，推动农产品生产主体依法落实承诺达标合格证制度，强化电子合格证赋码应用。</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农业农村局）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持续完善粮食质量安全管理制度，规范经营者行为。</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粮食和物资储备局）</w:t>
      </w:r>
    </w:p>
    <w:p w14:paraId="48458BE1">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（十九）提升企业管理水平。</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持续分类推进先进质量安全管理体系在食品生产企业的应用力度，食品小作坊和小型食品生产企业实施“6S”标准化管理达90%以上，中型以上食品生产企业实施以“HACCP”为主的食品安全管理体系达80%以上，大型食品生产企业推行ISO22000等先进质量管理体系达100%，全面提升食品生产企业质量安全管理水平。</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p>
    <w:p w14:paraId="268F3868">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（二十）促进企业转型升级。</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贯彻落实油茶产业、信阳菜和预制菜2条产业链行动方案，着力攻克关键技术，完善产业链、提升价值链、畅通供应链，实现“三链”同构，加快推动各产业链高质量发展。</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工业和信息化局、农业农村局、商务局、市场监管局、供销合作社按职责分工负责）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深入推进优质粮食工程，紧紧围绕优粮优产、优购、优储、优加、优销“五优联动”，增加优质粮食供给,提高粮食产业质量效益、品牌影响力和竞争力</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粮食和物资储备局）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支持农产品批发市场冷链流通基础设施改造升级，鼓励建设公共冷库、中央厨房等设施，加快绿色、高效、低碳冷藏设施应用，完善物流集散、加工配送、质量安全等功能，增强流通主渠道冷链服务能力。</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商务局）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注重市场安全、营养、健康等新需求，推进食品科技创新工作，在政策、计划、基地平台、资源开放等方面不断加大对信阳特色食品创新发展支持力度，</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科技局、工业和信息化局、农业农村局、市场监管局、农科</w:t>
      </w:r>
      <w:r>
        <w:rPr>
          <w:rFonts w:hint="eastAsia" w:ascii="楷体" w:hAnsi="楷体" w:eastAsia="楷体" w:cs="楷体"/>
          <w:color w:val="000000" w:themeColor="text1"/>
          <w:sz w:val="32"/>
          <w:szCs w:val="32"/>
          <w:u w:val="none"/>
          <w:lang w:val="en-US" w:eastAsia="zh-CN"/>
          <w14:textFill>
            <w14:solidFill>
              <w14:schemeClr w14:val="tx1"/>
            </w14:solidFill>
          </w14:textFill>
        </w:rPr>
        <w:t>所</w:t>
      </w:r>
      <w:r>
        <w:rPr>
          <w:rFonts w:hint="eastAsia" w:ascii="楷体" w:hAnsi="楷体" w:eastAsia="楷体" w:cs="楷体"/>
          <w:color w:val="000000" w:themeColor="text1"/>
          <w:sz w:val="32"/>
          <w:szCs w:val="32"/>
          <w:u w:val="none"/>
          <w:lang w:eastAsia="zh-CN"/>
          <w14:textFill>
            <w14:solidFill>
              <w14:schemeClr w14:val="tx1"/>
            </w14:solidFill>
          </w14:textFill>
        </w:rPr>
        <w:t>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针对新产品、新技术、新业态发展规律和特点,结合行业现状和监管实际,采取包容审慎监管方式，优化生产许可程序。</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加强要素保障和政策支持，培育发展传统优势食品产区和地方特色食品产业，积极推动信阳毛尖、油茶、酸辣粉等优质农产品生产基地建设。</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工业和信息化局、农业农村局按职责分工负责）</w:t>
      </w:r>
    </w:p>
    <w:p w14:paraId="21EDC863">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szCs w:val="32"/>
          <w:u w:val="none"/>
          <w:lang w:eastAsia="zh-CN"/>
          <w14:textFill>
            <w14:solidFill>
              <w14:schemeClr w14:val="tx1"/>
            </w14:solidFill>
          </w14:textFill>
        </w:rPr>
      </w:pPr>
      <w:r>
        <w:rPr>
          <w:rFonts w:hint="eastAsia" w:ascii="黑体" w:hAnsi="黑体" w:eastAsia="黑体"/>
          <w:color w:val="000000" w:themeColor="text1"/>
          <w:sz w:val="32"/>
          <w:szCs w:val="32"/>
          <w:u w:val="none"/>
          <w:lang w:eastAsia="zh-CN"/>
          <w14:textFill>
            <w14:solidFill>
              <w14:schemeClr w14:val="tx1"/>
            </w14:solidFill>
          </w14:textFill>
        </w:rPr>
        <w:t>六、着力“四项”建设，加快综合能力提升</w:t>
      </w:r>
    </w:p>
    <w:p w14:paraId="3D600128">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（二十一）加强标准体系化建设。</w:t>
      </w:r>
      <w:r>
        <w:rPr>
          <w:rFonts w:hint="eastAsia" w:ascii="Arial" w:hAnsi="Arial" w:eastAsia="仿宋_GB2312" w:cs="Arial"/>
          <w:snapToGrid w:val="0"/>
          <w:color w:val="000000" w:themeColor="text1"/>
          <w:sz w:val="32"/>
          <w:szCs w:val="32"/>
          <w:u w:val="none"/>
          <w:vertAlign w:val="baseline"/>
          <w:lang w:val="en-US" w:eastAsia="zh-CN" w:bidi="ar-SA"/>
          <w14:textFill>
            <w14:solidFill>
              <w14:schemeClr w14:val="tx1"/>
            </w14:solidFill>
          </w14:textFill>
        </w:rPr>
        <w:t>深入推进《河南省粮食安全保障条例》的宣传与贯彻落实工作。</w:t>
      </w:r>
      <w:r>
        <w:rPr>
          <w:rFonts w:hint="eastAsia" w:ascii="楷体" w:hAnsi="楷体" w:eastAsia="楷体" w:cs="楷体"/>
          <w:snapToGrid w:val="0"/>
          <w:color w:val="000000" w:themeColor="text1"/>
          <w:sz w:val="32"/>
          <w:szCs w:val="32"/>
          <w:u w:val="none"/>
          <w:vertAlign w:val="baseline"/>
          <w:lang w:val="en-US" w:eastAsia="zh-CN" w:bidi="ar-SA"/>
          <w14:textFill>
            <w14:solidFill>
              <w14:schemeClr w14:val="tx1"/>
            </w14:solidFill>
          </w14:textFill>
        </w:rPr>
        <w:t>（县</w:t>
      </w:r>
      <w:r>
        <w:rPr>
          <w:rFonts w:hint="eastAsia" w:ascii="楷体" w:hAnsi="楷体" w:eastAsia="楷体" w:cs="楷体"/>
          <w:snapToGrid w:val="0"/>
          <w:color w:val="000000" w:themeColor="text1"/>
          <w:sz w:val="32"/>
          <w:szCs w:val="32"/>
          <w:u w:val="none"/>
          <w:lang w:eastAsia="zh-CN" w:bidi="ar-SA"/>
          <w14:textFill>
            <w14:solidFill>
              <w14:schemeClr w14:val="tx1"/>
            </w14:solidFill>
          </w14:textFill>
        </w:rPr>
        <w:t>粮食和物资储备局</w:t>
      </w:r>
      <w:r>
        <w:rPr>
          <w:rFonts w:hint="eastAsia" w:ascii="楷体" w:hAnsi="楷体" w:eastAsia="楷体" w:cs="楷体"/>
          <w:snapToGrid w:val="0"/>
          <w:color w:val="000000" w:themeColor="text1"/>
          <w:sz w:val="32"/>
          <w:szCs w:val="32"/>
          <w:u w:val="none"/>
          <w:vertAlign w:val="baseline"/>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积极参与“标准河南”建设，开展标准制（修）订行动，提升地方标准质量，发挥示范引领作用。积极争创国家级农产品质量安全全产业链标准化示范基地，培育省级现代农业全产业链标准化生产基地。落实《河南省食品安全标准跟踪评价工作方案》要求，完成省局（厅、委）部署的标准跟踪评价年度工作任务，建立健全食品安全标准跟踪评价工作与企业、部门之间的协作长效机制。加大食品安全标准解释、宣传贯彻和培训力度，确保食品生产经营者深入贯彻食品安全标准。</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农业农村局、卫生健康委、市场监管局按职责分工负责）</w:t>
      </w:r>
    </w:p>
    <w:p w14:paraId="4B49CA85">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（二十二）加强风险评估与抽检监测能力建设。</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组织实施2024年度风险监测工作，年底前，食源性疾病病例监测不少于1</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00例。</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卫生健康委牵头，</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农业农村局、市场监管局、粮食和物资储备局按职责分工配合）</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持续完善市、县、村三级食品污染物和有害因素监测、食源性疾病监测网络以及全市食品安全风险监测结果分析。</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卫生健康委）</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推进基层农产品质量安全检验检测能力保持提升，</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促进我</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县农产品质量安全检验检测能力建设和基层农产品质量安全网格化监管服务高质量发展。开展食品安全风险评估工作，变事后监管为事前预防。</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农业农村局、市场监管局按职责分工负责）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落实上级关于食用林产品“一个统筹三个全覆盖”要求，开展我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经济林主栽区域、主栽树种、食用林产品和产地土壤规定监测指标的风险监测。</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林茶局）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持续强化粮食质量检验监测能力建设。</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粮食和物资储备局）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市场监管部门食品抽检量达到3.2批次/千人，抽检不合格食品核查处置率达到100%。针对抽检发现的突出问题，加大监督抽检和风险监测力度，并及时开展核查处置“回头看”。落实《加强食品安全风险预警防控指导意见》，建立部门间食品安全风险信息交流机制。加强对食品安全抽检承检机构管理，增强责任意识，更加精准、高效地履行食品安全抽样检验的职责，确保食品安全检验工作始终保持在较高水平。</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p>
    <w:p w14:paraId="17DFE241">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（二十三）加强监管工作信息化建设。</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加快推进农产品质量安全追溯体系建设，引导生产主体在国家、省级农产品质量安全追溯平台上注册。</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农业农村局）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加快推进食品安全监管信息化建设，推动普及智慧监管技术在食品安全监管全链条、全环节的应用，提高监管针对性有效性。</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p>
    <w:p w14:paraId="7201199C">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（二十四）加强基层基础建设。</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落实经费保障，有效保障干部教育经费、执法装备升级、信息化设备配置、检验检测仪器配备等。鼓励科技创新，提升执法人员风险隐患发现早、防控准的能力。</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发展改革委、科技局、财政局、农业农村局、卫生健康委、市场监管局按职责分工负责）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深入开展行风建设攻坚行动，营造风清气正的行业环境，切实做到转变作风、真抓实干。</w:t>
      </w:r>
      <w:r>
        <w:rPr>
          <w:rFonts w:hint="eastAsia" w:ascii="楷体" w:hAnsi="楷体" w:eastAsia="楷体" w:cs="楷体"/>
          <w:color w:val="000000" w:themeColor="text1"/>
          <w:sz w:val="32"/>
          <w:szCs w:val="32"/>
          <w:u w:val="none"/>
          <w:lang w:eastAsia="zh-CN"/>
          <w14:textFill>
            <w14:solidFill>
              <w14:schemeClr w14:val="tx1"/>
            </w14:solidFill>
          </w14:textFill>
        </w:rPr>
        <w:t>（各部门按职责分工负责）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建立长效工作机制，进一步压实属地责任和监管责任，持续提升农产品质量安全保障水平，开展“五星”乡镇农产品质量安全监管站评定工作。健全完善生产主体名录库和信用档案，推动乡镇农产品质量安全监管智慧化信息化建设。</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农业农村局）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大力推进基层市场监管所“两化”建设，指导各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乡镇（街道办事处）</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完成三星市场监管所评定工作。坚持班子建设有力、队伍素质过硬、基础设施完善、内部管理规范、日常监管到位、社会形象优良的目标，充分释放基层活力，切实提升监管服务水平和工作效能。</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市场监管局、各</w:t>
      </w:r>
      <w:r>
        <w:rPr>
          <w:rFonts w:hint="eastAsia" w:ascii="楷体" w:hAnsi="楷体" w:eastAsia="楷体" w:cs="楷体"/>
          <w:color w:val="000000" w:themeColor="text1"/>
          <w:sz w:val="32"/>
          <w:szCs w:val="32"/>
          <w:u w:val="none"/>
          <w:lang w:val="en-US" w:eastAsia="zh-CN"/>
          <w14:textFill>
            <w14:solidFill>
              <w14:schemeClr w14:val="tx1"/>
            </w14:solidFill>
          </w14:textFill>
        </w:rPr>
        <w:t>乡镇（街道办事处）</w:t>
      </w:r>
      <w:r>
        <w:rPr>
          <w:rFonts w:hint="eastAsia" w:ascii="楷体" w:hAnsi="楷体" w:eastAsia="楷体" w:cs="楷体"/>
          <w:color w:val="000000" w:themeColor="text1"/>
          <w:sz w:val="32"/>
          <w:szCs w:val="32"/>
          <w:u w:val="none"/>
          <w:lang w:eastAsia="zh-CN"/>
          <w14:textFill>
            <w14:solidFill>
              <w14:schemeClr w14:val="tx1"/>
            </w14:solidFill>
          </w14:textFill>
        </w:rPr>
        <w:t>政府按职责分工负责）</w:t>
      </w:r>
    </w:p>
    <w:p w14:paraId="34E528BE">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szCs w:val="32"/>
          <w:u w:val="none"/>
          <w:lang w:eastAsia="zh-CN"/>
          <w14:textFill>
            <w14:solidFill>
              <w14:schemeClr w14:val="tx1"/>
            </w14:solidFill>
          </w14:textFill>
        </w:rPr>
      </w:pPr>
      <w:r>
        <w:rPr>
          <w:rFonts w:hint="eastAsia" w:ascii="黑体" w:hAnsi="黑体" w:eastAsia="黑体"/>
          <w:color w:val="000000" w:themeColor="text1"/>
          <w:sz w:val="32"/>
          <w:szCs w:val="32"/>
          <w:u w:val="none"/>
          <w:lang w:eastAsia="zh-CN"/>
          <w14:textFill>
            <w14:solidFill>
              <w14:schemeClr w14:val="tx1"/>
            </w14:solidFill>
          </w14:textFill>
        </w:rPr>
        <w:t>七、发挥舆论宣传，营造共治共享氛围</w:t>
      </w:r>
    </w:p>
    <w:p w14:paraId="61CBE77D">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（二十五）注重宣传引导。</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充分利用媒体资源，强化宣传报道。利用召开新闻发布会、举办全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食品安全宣传周、食品安全“五进”、发布典型案例等形式，形成强大舆论声势；畅通举报渠道，建立“内部吹哨人”制度，鼓励广大人民群众和内部从业人员积极参与监督，形成共建共治共享食品安全新格局。</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政府食安办牵头，相关部门配合）</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不断丰富宣传思路和方式方法。指导、协调新闻媒体准确客观报道食品安全问题，有序开展食品安全舆论监督。弘扬中华民族勤俭节约的传统美德，倡导“厉行节约、反对浪费”社会风尚。</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委宣传部、</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教育体育局、公安局、司法</w:t>
      </w:r>
      <w:r>
        <w:rPr>
          <w:rFonts w:hint="eastAsia" w:ascii="楷体" w:hAnsi="楷体" w:eastAsia="楷体" w:cs="楷体"/>
          <w:color w:val="000000" w:themeColor="text1"/>
          <w:sz w:val="32"/>
          <w:szCs w:val="32"/>
          <w:u w:val="none"/>
          <w:lang w:val="en-US" w:eastAsia="zh-CN"/>
          <w14:textFill>
            <w14:solidFill>
              <w14:schemeClr w14:val="tx1"/>
            </w14:solidFill>
          </w14:textFill>
        </w:rPr>
        <w:t>局</w:t>
      </w:r>
      <w:r>
        <w:rPr>
          <w:rFonts w:hint="eastAsia" w:ascii="楷体" w:hAnsi="楷体" w:eastAsia="楷体" w:cs="楷体"/>
          <w:color w:val="000000" w:themeColor="text1"/>
          <w:sz w:val="32"/>
          <w:szCs w:val="32"/>
          <w:u w:val="none"/>
          <w:lang w:eastAsia="zh-CN"/>
          <w14:textFill>
            <w14:solidFill>
              <w14:schemeClr w14:val="tx1"/>
            </w14:solidFill>
          </w14:textFill>
        </w:rPr>
        <w:t>、农业农村局、卫生健康委、市场监管局、文化广电旅游局、机关事务管理中心、粮食和物资储备局、林茶局、</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科协按职责分工负责）</w:t>
      </w:r>
    </w:p>
    <w:p w14:paraId="7E5E960F">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（二十六）注重舆情应对处置。</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充分利用互联网、社交媒体等新媒体平台，加强对食品安全舆情信息源的建设，提高食品安全舆情信息的获取能力。明确食品安全舆情应急处置中的职责和任务，形成快速反应、协同作战的应急处置指挥体系。</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政府食安办、</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委宣传部、</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委网信办按职责分工负责）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修订印发《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罗山县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食品安全突发事故应急预案》，开展食品安全突发事件应急演练。</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共建网络食品安全良好舆论氛围，严加打击利用网络炒作谣言、传播谣言、欺诈和虚假宣传行为。</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政府食安办、</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委网信办牵头，相关部门配合）</w:t>
      </w:r>
    </w:p>
    <w:p w14:paraId="0DC8C8A7">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（二十七）注重社会监督作用。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发挥12345市长热线、12315消费热线等投诉举报作用，收集分析存在的食品安全风险隐患点。</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市场监管局）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组织各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乡镇、街道办事处</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各领域结合实际，在组建食品安全社会监督员、志愿者服务队伍和施展食品行业协会现有作用的基础上，加强新机制、新方式探索，力争形成社会监督、志愿服务、行业自律、政府部门监管的合力，有效发挥政府部门和社会沟通、准确传递食品安全信息的重要纽带和桥梁作用。</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政府食安办）</w:t>
      </w:r>
    </w:p>
    <w:p w14:paraId="180A80AC">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szCs w:val="32"/>
          <w:u w:val="none"/>
          <w:lang w:eastAsia="zh-CN"/>
          <w14:textFill>
            <w14:solidFill>
              <w14:schemeClr w14:val="tx1"/>
            </w14:solidFill>
          </w14:textFill>
        </w:rPr>
      </w:pPr>
      <w:r>
        <w:rPr>
          <w:rFonts w:hint="eastAsia" w:ascii="黑体" w:hAnsi="黑体" w:eastAsia="黑体"/>
          <w:color w:val="000000" w:themeColor="text1"/>
          <w:sz w:val="32"/>
          <w:szCs w:val="32"/>
          <w:u w:val="none"/>
          <w:lang w:eastAsia="zh-CN"/>
          <w14:textFill>
            <w14:solidFill>
              <w14:schemeClr w14:val="tx1"/>
            </w14:solidFill>
          </w14:textFill>
        </w:rPr>
        <w:t>八、落实党政同责，促进工作走深走实</w:t>
      </w:r>
    </w:p>
    <w:p w14:paraId="1C1C259C">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（二十八）压实属地管理责任。</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采取“四不两直”方式、运用“穿透核查”方法开展督查，以“两个责任”为抓手，促进县、乡党委和政府落实食品安全“党政同责”和属地管理责任。以“领导分级包保、部门协同配合、机构履职监管、企业扛稳主责”的工作机制，守牢食品安全底线。积极协调组织部门和</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委党校，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举办县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科</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级党政领导干部落实食品安全“两个责任”工作机制研修班。</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政府食安办）</w:t>
      </w:r>
    </w:p>
    <w:p w14:paraId="047842A7">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r>
        <w:rPr>
          <w:rFonts w:hint="eastAsia" w:ascii="楷体" w:hAnsi="楷体" w:eastAsia="楷体"/>
          <w:color w:val="000000" w:themeColor="text1"/>
          <w:sz w:val="32"/>
          <w:szCs w:val="32"/>
          <w:u w:val="none"/>
          <w:lang w:eastAsia="zh-CN"/>
          <w14:textFill>
            <w14:solidFill>
              <w14:schemeClr w14:val="tx1"/>
            </w14:solidFill>
          </w14:textFill>
        </w:rPr>
        <w:t>（二十九）构建共治共享格局。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充分发挥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政府食安办综合协调作用，按照</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政府食安委要求，组织开展食品安全重大问题的调查研究，协调跨部门重大食品安全突发事件、重大违法案件处置、调查处理等，形成全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“一盘棋”的工作合力。运用督促检查和评议考核，推动各方责任落实落细。</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政府食安办牵头，各部门按职责分工负责）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抓好制度建设，夯实各方责任，形成齐抓共管的工作格局。</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县</w:t>
      </w:r>
      <w:r>
        <w:rPr>
          <w:rFonts w:hint="eastAsia" w:ascii="楷体" w:hAnsi="楷体" w:eastAsia="楷体" w:cs="楷体"/>
          <w:color w:val="000000" w:themeColor="text1"/>
          <w:sz w:val="32"/>
          <w:szCs w:val="32"/>
          <w:u w:val="none"/>
          <w:lang w:eastAsia="zh-CN"/>
          <w14:textFill>
            <w14:solidFill>
              <w14:schemeClr w14:val="tx1"/>
            </w14:solidFill>
          </w14:textFill>
        </w:rPr>
        <w:t>政府食安办）</w:t>
      </w:r>
    </w:p>
    <w:p w14:paraId="42D209B8">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p>
    <w:p w14:paraId="1B28983C">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pPr>
    </w:p>
    <w:p w14:paraId="39434F2C">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color w:val="000000" w:themeColor="text1"/>
          <w:sz w:val="32"/>
          <w:szCs w:val="32"/>
          <w:u w:val="none"/>
          <w:lang w:eastAsia="zh-CN"/>
          <w14:textFill>
            <w14:solidFill>
              <w14:schemeClr w14:val="tx1"/>
            </w14:solidFill>
          </w14:textFill>
        </w:rPr>
        <w:sectPr>
          <w:footerReference r:id="rId5" w:type="default"/>
          <w:pgSz w:w="11906" w:h="16838"/>
          <w:pgMar w:top="2098" w:right="1474" w:bottom="1984" w:left="1587" w:header="851" w:footer="992" w:gutter="0"/>
          <w:pgNumType w:fmt="decimal"/>
          <w:cols w:space="425" w:num="1"/>
          <w:docGrid w:type="lines" w:linePitch="312" w:charSpace="0"/>
        </w:sectPr>
      </w:pPr>
    </w:p>
    <w:p w14:paraId="7B31DC2B">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sectPr>
      <w:footerReference r:id="rId6" w:type="default"/>
      <w:pgSz w:w="11906" w:h="16838"/>
      <w:pgMar w:top="1440" w:right="1531" w:bottom="1417" w:left="1531" w:header="851" w:footer="1247" w:gutter="0"/>
      <w:pgNumType w:fmt="numberInDash"/>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1203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B1E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82E09">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482E09">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3DE76">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D4BFF">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9AD4BFF">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zJjMGI2MGY0NTc1ZmJlZjg3ZjI1ZjhiMDJlOGUifQ=="/>
  </w:docVars>
  <w:rsids>
    <w:rsidRoot w:val="003151C2"/>
    <w:rsid w:val="000148F4"/>
    <w:rsid w:val="00257118"/>
    <w:rsid w:val="002B60A2"/>
    <w:rsid w:val="00304D2D"/>
    <w:rsid w:val="003151C2"/>
    <w:rsid w:val="003160C5"/>
    <w:rsid w:val="00345C87"/>
    <w:rsid w:val="004208DE"/>
    <w:rsid w:val="00461720"/>
    <w:rsid w:val="005C0886"/>
    <w:rsid w:val="006A69B7"/>
    <w:rsid w:val="009A06C7"/>
    <w:rsid w:val="00A64700"/>
    <w:rsid w:val="00B12CC1"/>
    <w:rsid w:val="00B52173"/>
    <w:rsid w:val="00DD6D07"/>
    <w:rsid w:val="00DE6E39"/>
    <w:rsid w:val="00F739CE"/>
    <w:rsid w:val="00FC02BF"/>
    <w:rsid w:val="01086C64"/>
    <w:rsid w:val="016519C1"/>
    <w:rsid w:val="018B433A"/>
    <w:rsid w:val="027A5940"/>
    <w:rsid w:val="030222F3"/>
    <w:rsid w:val="03062D2F"/>
    <w:rsid w:val="0317378E"/>
    <w:rsid w:val="03B55F71"/>
    <w:rsid w:val="03B804CE"/>
    <w:rsid w:val="04395899"/>
    <w:rsid w:val="04543ED4"/>
    <w:rsid w:val="04711E59"/>
    <w:rsid w:val="04BA2023"/>
    <w:rsid w:val="04CF4391"/>
    <w:rsid w:val="05216546"/>
    <w:rsid w:val="05976809"/>
    <w:rsid w:val="05B11678"/>
    <w:rsid w:val="060816FA"/>
    <w:rsid w:val="06147E59"/>
    <w:rsid w:val="064A73D7"/>
    <w:rsid w:val="06710264"/>
    <w:rsid w:val="06BA27AF"/>
    <w:rsid w:val="06CE1DB6"/>
    <w:rsid w:val="06D7510F"/>
    <w:rsid w:val="06F15AA5"/>
    <w:rsid w:val="070E6657"/>
    <w:rsid w:val="07475B6A"/>
    <w:rsid w:val="078C2E9A"/>
    <w:rsid w:val="07E35D35"/>
    <w:rsid w:val="08511C41"/>
    <w:rsid w:val="085B58CB"/>
    <w:rsid w:val="087E15BA"/>
    <w:rsid w:val="088C73E9"/>
    <w:rsid w:val="088E5CA1"/>
    <w:rsid w:val="08CF1BA3"/>
    <w:rsid w:val="08D226FF"/>
    <w:rsid w:val="08DA2C94"/>
    <w:rsid w:val="08FA6E92"/>
    <w:rsid w:val="09976DD7"/>
    <w:rsid w:val="0A344626"/>
    <w:rsid w:val="0A4E35F6"/>
    <w:rsid w:val="0A867BBA"/>
    <w:rsid w:val="0AA215A5"/>
    <w:rsid w:val="0AD32091"/>
    <w:rsid w:val="0AE56E10"/>
    <w:rsid w:val="0B1D50BA"/>
    <w:rsid w:val="0B61144B"/>
    <w:rsid w:val="0B680A2B"/>
    <w:rsid w:val="0BD87233"/>
    <w:rsid w:val="0BF62499"/>
    <w:rsid w:val="0BFB189F"/>
    <w:rsid w:val="0C7E427E"/>
    <w:rsid w:val="0C9E222B"/>
    <w:rsid w:val="0D073934"/>
    <w:rsid w:val="0D7F321E"/>
    <w:rsid w:val="0DA41AC3"/>
    <w:rsid w:val="0DB65D56"/>
    <w:rsid w:val="0E1D088D"/>
    <w:rsid w:val="0E364E11"/>
    <w:rsid w:val="0E415563"/>
    <w:rsid w:val="0EC7047D"/>
    <w:rsid w:val="0EFA57E8"/>
    <w:rsid w:val="0F2F360E"/>
    <w:rsid w:val="0F386966"/>
    <w:rsid w:val="0F8D6973"/>
    <w:rsid w:val="0FFC5BE6"/>
    <w:rsid w:val="100B5E29"/>
    <w:rsid w:val="108A4FA0"/>
    <w:rsid w:val="10B22749"/>
    <w:rsid w:val="10B71B0D"/>
    <w:rsid w:val="10D64689"/>
    <w:rsid w:val="11B5429E"/>
    <w:rsid w:val="11BD71AA"/>
    <w:rsid w:val="11F139CE"/>
    <w:rsid w:val="11F748B7"/>
    <w:rsid w:val="12647AFD"/>
    <w:rsid w:val="127C300E"/>
    <w:rsid w:val="12C329EB"/>
    <w:rsid w:val="12FC56ED"/>
    <w:rsid w:val="135E57D8"/>
    <w:rsid w:val="13AF2F6F"/>
    <w:rsid w:val="142E0338"/>
    <w:rsid w:val="14692BD2"/>
    <w:rsid w:val="148D1503"/>
    <w:rsid w:val="15162BBC"/>
    <w:rsid w:val="1519357C"/>
    <w:rsid w:val="153951E6"/>
    <w:rsid w:val="1565422D"/>
    <w:rsid w:val="157707EC"/>
    <w:rsid w:val="15D3194A"/>
    <w:rsid w:val="15FC7E1F"/>
    <w:rsid w:val="16314110"/>
    <w:rsid w:val="16351E52"/>
    <w:rsid w:val="16B06EC8"/>
    <w:rsid w:val="16B0712B"/>
    <w:rsid w:val="16EA463F"/>
    <w:rsid w:val="17253C74"/>
    <w:rsid w:val="17364B64"/>
    <w:rsid w:val="17495D6E"/>
    <w:rsid w:val="175D48F4"/>
    <w:rsid w:val="17A14F46"/>
    <w:rsid w:val="17C74D2B"/>
    <w:rsid w:val="17E458DD"/>
    <w:rsid w:val="17EE050A"/>
    <w:rsid w:val="183632AB"/>
    <w:rsid w:val="18371EB1"/>
    <w:rsid w:val="18975246"/>
    <w:rsid w:val="19277699"/>
    <w:rsid w:val="19445F08"/>
    <w:rsid w:val="19683A76"/>
    <w:rsid w:val="19B1359D"/>
    <w:rsid w:val="19C765BC"/>
    <w:rsid w:val="19E619AA"/>
    <w:rsid w:val="19E971DB"/>
    <w:rsid w:val="19F17994"/>
    <w:rsid w:val="1A206975"/>
    <w:rsid w:val="1A366198"/>
    <w:rsid w:val="1A4C776A"/>
    <w:rsid w:val="1A5B79AD"/>
    <w:rsid w:val="1A670100"/>
    <w:rsid w:val="1AEB6F83"/>
    <w:rsid w:val="1B120817"/>
    <w:rsid w:val="1B285AE1"/>
    <w:rsid w:val="1B4D19EC"/>
    <w:rsid w:val="1C4967C1"/>
    <w:rsid w:val="1C755A82"/>
    <w:rsid w:val="1CB46F25"/>
    <w:rsid w:val="1CDA72AF"/>
    <w:rsid w:val="1CDE2659"/>
    <w:rsid w:val="1CE617B0"/>
    <w:rsid w:val="1CE8637B"/>
    <w:rsid w:val="1D014681"/>
    <w:rsid w:val="1D6E17A5"/>
    <w:rsid w:val="1D6F3E9B"/>
    <w:rsid w:val="1DAD252B"/>
    <w:rsid w:val="1DDE42FE"/>
    <w:rsid w:val="1E0C2973"/>
    <w:rsid w:val="1E25467E"/>
    <w:rsid w:val="1E3226A0"/>
    <w:rsid w:val="1E691C0A"/>
    <w:rsid w:val="1E894AE9"/>
    <w:rsid w:val="1EB62A42"/>
    <w:rsid w:val="1EF231A5"/>
    <w:rsid w:val="1F083F61"/>
    <w:rsid w:val="1F0E1492"/>
    <w:rsid w:val="1F4153C3"/>
    <w:rsid w:val="1F4629DA"/>
    <w:rsid w:val="1F6D61B8"/>
    <w:rsid w:val="1FB65DB1"/>
    <w:rsid w:val="1FC353BD"/>
    <w:rsid w:val="1FE67D19"/>
    <w:rsid w:val="20000DDB"/>
    <w:rsid w:val="20012DA5"/>
    <w:rsid w:val="2079293B"/>
    <w:rsid w:val="20C938C2"/>
    <w:rsid w:val="20EB4E0E"/>
    <w:rsid w:val="20F14BC7"/>
    <w:rsid w:val="215B0647"/>
    <w:rsid w:val="217F0425"/>
    <w:rsid w:val="21815F4B"/>
    <w:rsid w:val="21E939F3"/>
    <w:rsid w:val="22101D7F"/>
    <w:rsid w:val="22943A5C"/>
    <w:rsid w:val="22B367B8"/>
    <w:rsid w:val="22BC4703"/>
    <w:rsid w:val="22F866E1"/>
    <w:rsid w:val="231150AD"/>
    <w:rsid w:val="233C2FCD"/>
    <w:rsid w:val="234A2D6A"/>
    <w:rsid w:val="234C0815"/>
    <w:rsid w:val="23A01561"/>
    <w:rsid w:val="23B63E77"/>
    <w:rsid w:val="23E30C6E"/>
    <w:rsid w:val="24286B52"/>
    <w:rsid w:val="248B0E8F"/>
    <w:rsid w:val="24A51F50"/>
    <w:rsid w:val="24B65F0C"/>
    <w:rsid w:val="24C745BD"/>
    <w:rsid w:val="25137802"/>
    <w:rsid w:val="251D41DD"/>
    <w:rsid w:val="2540611D"/>
    <w:rsid w:val="257B14DB"/>
    <w:rsid w:val="25CB3C39"/>
    <w:rsid w:val="260945AA"/>
    <w:rsid w:val="261750D0"/>
    <w:rsid w:val="26533F22"/>
    <w:rsid w:val="26AD77E2"/>
    <w:rsid w:val="26DD00C8"/>
    <w:rsid w:val="26EC20B9"/>
    <w:rsid w:val="270A0B9B"/>
    <w:rsid w:val="273B34AE"/>
    <w:rsid w:val="28043432"/>
    <w:rsid w:val="28137B19"/>
    <w:rsid w:val="285C14C0"/>
    <w:rsid w:val="288D3427"/>
    <w:rsid w:val="28B05368"/>
    <w:rsid w:val="28F05EA6"/>
    <w:rsid w:val="29D62BAC"/>
    <w:rsid w:val="2A021BF3"/>
    <w:rsid w:val="2A383867"/>
    <w:rsid w:val="2A84085A"/>
    <w:rsid w:val="2AC05D36"/>
    <w:rsid w:val="2ADA66CC"/>
    <w:rsid w:val="2B0379D1"/>
    <w:rsid w:val="2B1716CE"/>
    <w:rsid w:val="2B193698"/>
    <w:rsid w:val="2B9920E3"/>
    <w:rsid w:val="2BD575BF"/>
    <w:rsid w:val="2BD65BF0"/>
    <w:rsid w:val="2BFD08C4"/>
    <w:rsid w:val="2C257A64"/>
    <w:rsid w:val="2CA945A8"/>
    <w:rsid w:val="2CAD22EA"/>
    <w:rsid w:val="2DA27975"/>
    <w:rsid w:val="2DC31CF3"/>
    <w:rsid w:val="2DDD6BFF"/>
    <w:rsid w:val="2E580034"/>
    <w:rsid w:val="2E652751"/>
    <w:rsid w:val="2EDB7FA0"/>
    <w:rsid w:val="2F436F36"/>
    <w:rsid w:val="2F450B6E"/>
    <w:rsid w:val="2F5E78CC"/>
    <w:rsid w:val="2F754C15"/>
    <w:rsid w:val="300A28B9"/>
    <w:rsid w:val="300C4679"/>
    <w:rsid w:val="3029612C"/>
    <w:rsid w:val="303B19BB"/>
    <w:rsid w:val="3073425A"/>
    <w:rsid w:val="309A2B85"/>
    <w:rsid w:val="30A63368"/>
    <w:rsid w:val="30DF67EA"/>
    <w:rsid w:val="31E340B8"/>
    <w:rsid w:val="32B819E9"/>
    <w:rsid w:val="332C7FD8"/>
    <w:rsid w:val="33574D5E"/>
    <w:rsid w:val="341D5FA7"/>
    <w:rsid w:val="344B3EC9"/>
    <w:rsid w:val="34561650"/>
    <w:rsid w:val="345B6AD0"/>
    <w:rsid w:val="3464452F"/>
    <w:rsid w:val="34CB5C82"/>
    <w:rsid w:val="35004F81"/>
    <w:rsid w:val="350727B3"/>
    <w:rsid w:val="355F614C"/>
    <w:rsid w:val="35A561EB"/>
    <w:rsid w:val="364610BA"/>
    <w:rsid w:val="3697304E"/>
    <w:rsid w:val="36C50230"/>
    <w:rsid w:val="36D05553"/>
    <w:rsid w:val="37537F32"/>
    <w:rsid w:val="383179E1"/>
    <w:rsid w:val="38737663"/>
    <w:rsid w:val="38FF3ECD"/>
    <w:rsid w:val="39047736"/>
    <w:rsid w:val="39205EF8"/>
    <w:rsid w:val="393A3157"/>
    <w:rsid w:val="394A59F5"/>
    <w:rsid w:val="39513164"/>
    <w:rsid w:val="395B4E7C"/>
    <w:rsid w:val="397F0B6A"/>
    <w:rsid w:val="39812B34"/>
    <w:rsid w:val="39912038"/>
    <w:rsid w:val="39A64349"/>
    <w:rsid w:val="39A901CE"/>
    <w:rsid w:val="39D91993"/>
    <w:rsid w:val="3A3951BD"/>
    <w:rsid w:val="3A712BA9"/>
    <w:rsid w:val="3A971092"/>
    <w:rsid w:val="3AFB06C4"/>
    <w:rsid w:val="3B7665B8"/>
    <w:rsid w:val="3C2E6878"/>
    <w:rsid w:val="3C4B567C"/>
    <w:rsid w:val="3CB054DF"/>
    <w:rsid w:val="3D0108B6"/>
    <w:rsid w:val="3D0575D8"/>
    <w:rsid w:val="3D45031D"/>
    <w:rsid w:val="3D6955AA"/>
    <w:rsid w:val="3DA74B34"/>
    <w:rsid w:val="3DDA2813"/>
    <w:rsid w:val="3E027FBC"/>
    <w:rsid w:val="3E350391"/>
    <w:rsid w:val="3E444130"/>
    <w:rsid w:val="3E491747"/>
    <w:rsid w:val="3EA82911"/>
    <w:rsid w:val="3F4C0AAE"/>
    <w:rsid w:val="3FAD7E35"/>
    <w:rsid w:val="3FCC0881"/>
    <w:rsid w:val="3FE727C0"/>
    <w:rsid w:val="3FEE07F8"/>
    <w:rsid w:val="400370E7"/>
    <w:rsid w:val="40416B7A"/>
    <w:rsid w:val="406A323D"/>
    <w:rsid w:val="406B009A"/>
    <w:rsid w:val="40927E28"/>
    <w:rsid w:val="40AA1C33"/>
    <w:rsid w:val="40D479EE"/>
    <w:rsid w:val="40D7331C"/>
    <w:rsid w:val="40FA4F7A"/>
    <w:rsid w:val="41222EAF"/>
    <w:rsid w:val="412A2641"/>
    <w:rsid w:val="41905D63"/>
    <w:rsid w:val="41A30C47"/>
    <w:rsid w:val="41B617E9"/>
    <w:rsid w:val="41C21F3C"/>
    <w:rsid w:val="41DF489C"/>
    <w:rsid w:val="42114C71"/>
    <w:rsid w:val="42366486"/>
    <w:rsid w:val="423A41C8"/>
    <w:rsid w:val="42937435"/>
    <w:rsid w:val="429D6505"/>
    <w:rsid w:val="42A67168"/>
    <w:rsid w:val="42B032DA"/>
    <w:rsid w:val="42E5394B"/>
    <w:rsid w:val="430869F4"/>
    <w:rsid w:val="43266633"/>
    <w:rsid w:val="432A7D99"/>
    <w:rsid w:val="43384C18"/>
    <w:rsid w:val="43907AAB"/>
    <w:rsid w:val="43B43B06"/>
    <w:rsid w:val="44284660"/>
    <w:rsid w:val="44743E8F"/>
    <w:rsid w:val="447E6D8B"/>
    <w:rsid w:val="4490385E"/>
    <w:rsid w:val="44E03674"/>
    <w:rsid w:val="4517259F"/>
    <w:rsid w:val="453F0F59"/>
    <w:rsid w:val="45844431"/>
    <w:rsid w:val="45967968"/>
    <w:rsid w:val="45CA13BF"/>
    <w:rsid w:val="463902F3"/>
    <w:rsid w:val="46B64846"/>
    <w:rsid w:val="46D324F5"/>
    <w:rsid w:val="47605F31"/>
    <w:rsid w:val="47863A0C"/>
    <w:rsid w:val="4828061F"/>
    <w:rsid w:val="485578E8"/>
    <w:rsid w:val="4888388C"/>
    <w:rsid w:val="48CB3DCC"/>
    <w:rsid w:val="48CC7892"/>
    <w:rsid w:val="48D6451F"/>
    <w:rsid w:val="49262DB0"/>
    <w:rsid w:val="49A32653"/>
    <w:rsid w:val="49B52386"/>
    <w:rsid w:val="4A037596"/>
    <w:rsid w:val="4A0941CE"/>
    <w:rsid w:val="4A286032"/>
    <w:rsid w:val="4A2D18F3"/>
    <w:rsid w:val="4A655B5A"/>
    <w:rsid w:val="4A6A6D04"/>
    <w:rsid w:val="4A8C27E6"/>
    <w:rsid w:val="4ABD5996"/>
    <w:rsid w:val="4AFF5FAF"/>
    <w:rsid w:val="4B272E10"/>
    <w:rsid w:val="4B62209A"/>
    <w:rsid w:val="4B76388E"/>
    <w:rsid w:val="4BC52D55"/>
    <w:rsid w:val="4C3A4224"/>
    <w:rsid w:val="4C5527D2"/>
    <w:rsid w:val="4C8F577D"/>
    <w:rsid w:val="4CC4300C"/>
    <w:rsid w:val="4CF338F1"/>
    <w:rsid w:val="4D387556"/>
    <w:rsid w:val="4D422183"/>
    <w:rsid w:val="4D492A47"/>
    <w:rsid w:val="4D5819A6"/>
    <w:rsid w:val="4DA1334D"/>
    <w:rsid w:val="4DF27F38"/>
    <w:rsid w:val="4E2627AC"/>
    <w:rsid w:val="4E355844"/>
    <w:rsid w:val="4E4A7541"/>
    <w:rsid w:val="4EA21AFA"/>
    <w:rsid w:val="4EB1136E"/>
    <w:rsid w:val="4EF7020E"/>
    <w:rsid w:val="4F0E30E0"/>
    <w:rsid w:val="4F4641AC"/>
    <w:rsid w:val="4F617220"/>
    <w:rsid w:val="4F6463E1"/>
    <w:rsid w:val="4FE021C4"/>
    <w:rsid w:val="507F0F62"/>
    <w:rsid w:val="50854860"/>
    <w:rsid w:val="50CC7050"/>
    <w:rsid w:val="50EC2B32"/>
    <w:rsid w:val="513822D8"/>
    <w:rsid w:val="515B23FF"/>
    <w:rsid w:val="51A229BD"/>
    <w:rsid w:val="51A82AC2"/>
    <w:rsid w:val="51B722DE"/>
    <w:rsid w:val="51F223CA"/>
    <w:rsid w:val="52045C59"/>
    <w:rsid w:val="52432C25"/>
    <w:rsid w:val="52642B9B"/>
    <w:rsid w:val="52B93795"/>
    <w:rsid w:val="52FA333D"/>
    <w:rsid w:val="53397B84"/>
    <w:rsid w:val="53446C55"/>
    <w:rsid w:val="5362532D"/>
    <w:rsid w:val="53BF0089"/>
    <w:rsid w:val="53C82986"/>
    <w:rsid w:val="53E61ABA"/>
    <w:rsid w:val="54284CF2"/>
    <w:rsid w:val="542E5B63"/>
    <w:rsid w:val="54457F5D"/>
    <w:rsid w:val="54F5681F"/>
    <w:rsid w:val="55216B22"/>
    <w:rsid w:val="5551200A"/>
    <w:rsid w:val="55894DF3"/>
    <w:rsid w:val="561861CC"/>
    <w:rsid w:val="56C87B9D"/>
    <w:rsid w:val="56F269C8"/>
    <w:rsid w:val="570606C5"/>
    <w:rsid w:val="571A1A7B"/>
    <w:rsid w:val="57671164"/>
    <w:rsid w:val="576F626A"/>
    <w:rsid w:val="57D165DD"/>
    <w:rsid w:val="58131D55"/>
    <w:rsid w:val="58160494"/>
    <w:rsid w:val="585E2813"/>
    <w:rsid w:val="58975A79"/>
    <w:rsid w:val="58A73E8C"/>
    <w:rsid w:val="58AB7726"/>
    <w:rsid w:val="59273AEF"/>
    <w:rsid w:val="597C5E8F"/>
    <w:rsid w:val="5A5F26E7"/>
    <w:rsid w:val="5A6B6CD0"/>
    <w:rsid w:val="5ADA2891"/>
    <w:rsid w:val="5C0C052C"/>
    <w:rsid w:val="5C4750C0"/>
    <w:rsid w:val="5CAE15E3"/>
    <w:rsid w:val="5CD86660"/>
    <w:rsid w:val="5CF35248"/>
    <w:rsid w:val="5D06567B"/>
    <w:rsid w:val="5D29565C"/>
    <w:rsid w:val="5DBC388C"/>
    <w:rsid w:val="5DCB3ACF"/>
    <w:rsid w:val="5DF94AE0"/>
    <w:rsid w:val="5E873E9A"/>
    <w:rsid w:val="5EA96363"/>
    <w:rsid w:val="5EAE7678"/>
    <w:rsid w:val="5ECA1FD8"/>
    <w:rsid w:val="5ECA401A"/>
    <w:rsid w:val="60B62814"/>
    <w:rsid w:val="60B66CB8"/>
    <w:rsid w:val="60DF5FDA"/>
    <w:rsid w:val="610D7308"/>
    <w:rsid w:val="613010DB"/>
    <w:rsid w:val="61532759"/>
    <w:rsid w:val="61823001"/>
    <w:rsid w:val="61891CD7"/>
    <w:rsid w:val="62465E1A"/>
    <w:rsid w:val="627806C9"/>
    <w:rsid w:val="6280757E"/>
    <w:rsid w:val="62874CFC"/>
    <w:rsid w:val="629608AD"/>
    <w:rsid w:val="6299419B"/>
    <w:rsid w:val="62E0001C"/>
    <w:rsid w:val="6318012F"/>
    <w:rsid w:val="632717A7"/>
    <w:rsid w:val="6361115D"/>
    <w:rsid w:val="63F024E1"/>
    <w:rsid w:val="64065861"/>
    <w:rsid w:val="64177CEA"/>
    <w:rsid w:val="643A7421"/>
    <w:rsid w:val="64616F3B"/>
    <w:rsid w:val="64634A61"/>
    <w:rsid w:val="648D3899"/>
    <w:rsid w:val="64A357A5"/>
    <w:rsid w:val="64FF0C2E"/>
    <w:rsid w:val="654607AD"/>
    <w:rsid w:val="654725D5"/>
    <w:rsid w:val="65566374"/>
    <w:rsid w:val="65850CB8"/>
    <w:rsid w:val="66010A5C"/>
    <w:rsid w:val="664F7993"/>
    <w:rsid w:val="66650F64"/>
    <w:rsid w:val="666B22F3"/>
    <w:rsid w:val="669B4145"/>
    <w:rsid w:val="669C06FE"/>
    <w:rsid w:val="66BB5028"/>
    <w:rsid w:val="67537D08"/>
    <w:rsid w:val="679176C9"/>
    <w:rsid w:val="67DA7730"/>
    <w:rsid w:val="67F65BEC"/>
    <w:rsid w:val="67FC12C5"/>
    <w:rsid w:val="67FF7197"/>
    <w:rsid w:val="6819678B"/>
    <w:rsid w:val="682B3AE8"/>
    <w:rsid w:val="686D5EAE"/>
    <w:rsid w:val="6888024C"/>
    <w:rsid w:val="688B27D8"/>
    <w:rsid w:val="68E343C2"/>
    <w:rsid w:val="69482477"/>
    <w:rsid w:val="69B1626F"/>
    <w:rsid w:val="69B75B4F"/>
    <w:rsid w:val="69D81A4D"/>
    <w:rsid w:val="69EA3460"/>
    <w:rsid w:val="6A1C4030"/>
    <w:rsid w:val="6A7554EE"/>
    <w:rsid w:val="6A8674D8"/>
    <w:rsid w:val="6A890F99"/>
    <w:rsid w:val="6A9F07BD"/>
    <w:rsid w:val="6AA40F58"/>
    <w:rsid w:val="6ABC136F"/>
    <w:rsid w:val="6ADF1441"/>
    <w:rsid w:val="6ADF7409"/>
    <w:rsid w:val="6AFB3C45"/>
    <w:rsid w:val="6B226B91"/>
    <w:rsid w:val="6B3727A3"/>
    <w:rsid w:val="6B6970BF"/>
    <w:rsid w:val="6B6C0DA2"/>
    <w:rsid w:val="6BDB3A77"/>
    <w:rsid w:val="6BE0108D"/>
    <w:rsid w:val="6C417D7E"/>
    <w:rsid w:val="6C4E7465"/>
    <w:rsid w:val="6CB67499"/>
    <w:rsid w:val="6CD72490"/>
    <w:rsid w:val="6E3B1A16"/>
    <w:rsid w:val="6E3B6A4F"/>
    <w:rsid w:val="6E526272"/>
    <w:rsid w:val="6E91041D"/>
    <w:rsid w:val="6E937F29"/>
    <w:rsid w:val="6F191059"/>
    <w:rsid w:val="6F26325B"/>
    <w:rsid w:val="6F7915DA"/>
    <w:rsid w:val="6F881820"/>
    <w:rsid w:val="6F925F92"/>
    <w:rsid w:val="6FB46AB9"/>
    <w:rsid w:val="6FC34F4E"/>
    <w:rsid w:val="70057314"/>
    <w:rsid w:val="70294DB1"/>
    <w:rsid w:val="70366B8A"/>
    <w:rsid w:val="70DE203F"/>
    <w:rsid w:val="70E7131E"/>
    <w:rsid w:val="712220CD"/>
    <w:rsid w:val="71F323BC"/>
    <w:rsid w:val="72035AD5"/>
    <w:rsid w:val="72183203"/>
    <w:rsid w:val="72BB170D"/>
    <w:rsid w:val="72C139C6"/>
    <w:rsid w:val="72F53670"/>
    <w:rsid w:val="73844DAE"/>
    <w:rsid w:val="73DE566C"/>
    <w:rsid w:val="73FF0247"/>
    <w:rsid w:val="742A559B"/>
    <w:rsid w:val="748E78D8"/>
    <w:rsid w:val="74CA6436"/>
    <w:rsid w:val="74F51705"/>
    <w:rsid w:val="75181898"/>
    <w:rsid w:val="75313DC7"/>
    <w:rsid w:val="75475CD9"/>
    <w:rsid w:val="755F7D33"/>
    <w:rsid w:val="75CE0FC7"/>
    <w:rsid w:val="75D13FC1"/>
    <w:rsid w:val="75F220E9"/>
    <w:rsid w:val="768D3BBF"/>
    <w:rsid w:val="76AE0F04"/>
    <w:rsid w:val="76E52316"/>
    <w:rsid w:val="772B3B04"/>
    <w:rsid w:val="77437739"/>
    <w:rsid w:val="77C61BDD"/>
    <w:rsid w:val="780B56E4"/>
    <w:rsid w:val="784308F4"/>
    <w:rsid w:val="7883171E"/>
    <w:rsid w:val="7883527A"/>
    <w:rsid w:val="78A91184"/>
    <w:rsid w:val="78D855C6"/>
    <w:rsid w:val="78F16688"/>
    <w:rsid w:val="79232871"/>
    <w:rsid w:val="796721E3"/>
    <w:rsid w:val="79EC54FB"/>
    <w:rsid w:val="79EE3104"/>
    <w:rsid w:val="7A052DF2"/>
    <w:rsid w:val="7A6D24EE"/>
    <w:rsid w:val="7A9814B1"/>
    <w:rsid w:val="7AAC3494"/>
    <w:rsid w:val="7ACD133D"/>
    <w:rsid w:val="7B252618"/>
    <w:rsid w:val="7B310FBD"/>
    <w:rsid w:val="7B334D35"/>
    <w:rsid w:val="7B917CAE"/>
    <w:rsid w:val="7BF72207"/>
    <w:rsid w:val="7C58161C"/>
    <w:rsid w:val="7CC67312"/>
    <w:rsid w:val="7D0E5A5A"/>
    <w:rsid w:val="7D472D1A"/>
    <w:rsid w:val="7D5176F5"/>
    <w:rsid w:val="7D957F29"/>
    <w:rsid w:val="7DA912DF"/>
    <w:rsid w:val="7E260B81"/>
    <w:rsid w:val="7E3F2705"/>
    <w:rsid w:val="7E4E00D8"/>
    <w:rsid w:val="7E865AC4"/>
    <w:rsid w:val="7EB62184"/>
    <w:rsid w:val="7EFD0573"/>
    <w:rsid w:val="7F037115"/>
    <w:rsid w:val="7F5B0CFF"/>
    <w:rsid w:val="7FAB7274"/>
    <w:rsid w:val="7FC06DB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0" w:line="240" w:lineRule="auto"/>
    </w:pPr>
    <w:rPr>
      <w:rFonts w:cs="Times New Roman" w:asciiTheme="minorHAnsi" w:hAnsiTheme="minorHAnsi" w:eastAsiaTheme="minorEastAsia"/>
      <w:sz w:val="24"/>
      <w:szCs w:val="24"/>
      <w:lang w:val="en-US" w:eastAsia="en-US" w:bidi="en-US"/>
    </w:rPr>
  </w:style>
  <w:style w:type="paragraph" w:styleId="2">
    <w:name w:val="heading 1"/>
    <w:basedOn w:val="1"/>
    <w:next w:val="1"/>
    <w:link w:val="21"/>
    <w:autoRedefine/>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0"/>
    <w:autoRedefine/>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2"/>
    <w:autoRedefine/>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3"/>
    <w:autoRedefine/>
    <w:semiHidden/>
    <w:unhideWhenUsed/>
    <w:qFormat/>
    <w:uiPriority w:val="9"/>
    <w:pPr>
      <w:keepNext/>
      <w:spacing w:before="240" w:after="60"/>
      <w:outlineLvl w:val="3"/>
    </w:pPr>
    <w:rPr>
      <w:b/>
      <w:bCs/>
      <w:sz w:val="28"/>
      <w:szCs w:val="28"/>
    </w:rPr>
  </w:style>
  <w:style w:type="paragraph" w:styleId="6">
    <w:name w:val="heading 5"/>
    <w:basedOn w:val="1"/>
    <w:next w:val="1"/>
    <w:link w:val="24"/>
    <w:autoRedefine/>
    <w:semiHidden/>
    <w:unhideWhenUsed/>
    <w:qFormat/>
    <w:uiPriority w:val="9"/>
    <w:pPr>
      <w:spacing w:before="240" w:after="60"/>
      <w:outlineLvl w:val="4"/>
    </w:pPr>
    <w:rPr>
      <w:b/>
      <w:bCs/>
      <w:i/>
      <w:iCs/>
      <w:sz w:val="26"/>
      <w:szCs w:val="26"/>
    </w:rPr>
  </w:style>
  <w:style w:type="paragraph" w:styleId="7">
    <w:name w:val="heading 6"/>
    <w:basedOn w:val="1"/>
    <w:next w:val="1"/>
    <w:link w:val="25"/>
    <w:autoRedefine/>
    <w:semiHidden/>
    <w:unhideWhenUsed/>
    <w:qFormat/>
    <w:uiPriority w:val="9"/>
    <w:pPr>
      <w:spacing w:before="240" w:after="60"/>
      <w:outlineLvl w:val="5"/>
    </w:pPr>
    <w:rPr>
      <w:b/>
      <w:bCs/>
      <w:sz w:val="22"/>
      <w:szCs w:val="22"/>
    </w:rPr>
  </w:style>
  <w:style w:type="paragraph" w:styleId="8">
    <w:name w:val="heading 7"/>
    <w:basedOn w:val="1"/>
    <w:next w:val="1"/>
    <w:link w:val="26"/>
    <w:autoRedefine/>
    <w:semiHidden/>
    <w:unhideWhenUsed/>
    <w:qFormat/>
    <w:uiPriority w:val="9"/>
    <w:pPr>
      <w:spacing w:before="240" w:after="60"/>
      <w:outlineLvl w:val="6"/>
    </w:pPr>
  </w:style>
  <w:style w:type="paragraph" w:styleId="9">
    <w:name w:val="heading 8"/>
    <w:basedOn w:val="1"/>
    <w:next w:val="1"/>
    <w:link w:val="27"/>
    <w:autoRedefine/>
    <w:semiHidden/>
    <w:unhideWhenUsed/>
    <w:qFormat/>
    <w:uiPriority w:val="9"/>
    <w:pPr>
      <w:spacing w:before="240" w:after="60"/>
      <w:outlineLvl w:val="7"/>
    </w:pPr>
    <w:rPr>
      <w:i/>
      <w:iCs/>
    </w:rPr>
  </w:style>
  <w:style w:type="paragraph" w:styleId="10">
    <w:name w:val="heading 9"/>
    <w:basedOn w:val="1"/>
    <w:next w:val="1"/>
    <w:link w:val="28"/>
    <w:autoRedefine/>
    <w:semiHidden/>
    <w:unhideWhenUsed/>
    <w:qFormat/>
    <w:uiPriority w:val="9"/>
    <w:pPr>
      <w:spacing w:before="240" w:after="60"/>
      <w:outlineLvl w:val="8"/>
    </w:pPr>
    <w:rPr>
      <w:rFonts w:asciiTheme="majorHAnsi" w:hAnsiTheme="majorHAnsi" w:eastAsiaTheme="majorEastAsia"/>
      <w:sz w:val="22"/>
      <w:szCs w:val="2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45"/>
    <w:autoRedefine/>
    <w:semiHidden/>
    <w:unhideWhenUsed/>
    <w:qFormat/>
    <w:uiPriority w:val="99"/>
    <w:pPr>
      <w:tabs>
        <w:tab w:val="center" w:pos="4153"/>
        <w:tab w:val="right" w:pos="8306"/>
      </w:tabs>
      <w:snapToGrid w:val="0"/>
    </w:pPr>
    <w:rPr>
      <w:sz w:val="18"/>
      <w:szCs w:val="18"/>
    </w:rPr>
  </w:style>
  <w:style w:type="paragraph" w:styleId="12">
    <w:name w:val="header"/>
    <w:basedOn w:val="1"/>
    <w:link w:val="4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0"/>
    <w:autoRedefine/>
    <w:qFormat/>
    <w:uiPriority w:val="11"/>
    <w:pPr>
      <w:spacing w:after="60"/>
      <w:jc w:val="center"/>
      <w:outlineLvl w:val="1"/>
    </w:pPr>
    <w:rPr>
      <w:rFonts w:asciiTheme="majorHAnsi" w:hAnsiTheme="majorHAnsi" w:eastAsiaTheme="majorEastAsia"/>
    </w:rPr>
  </w:style>
  <w:style w:type="paragraph" w:styleId="14">
    <w:name w:val="Title"/>
    <w:basedOn w:val="1"/>
    <w:next w:val="1"/>
    <w:link w:val="29"/>
    <w:autoRedefine/>
    <w:qFormat/>
    <w:uiPriority w:val="10"/>
    <w:pPr>
      <w:spacing w:before="240" w:after="60"/>
      <w:jc w:val="center"/>
      <w:outlineLvl w:val="0"/>
    </w:pPr>
    <w:rPr>
      <w:rFonts w:asciiTheme="majorHAnsi" w:hAnsiTheme="majorHAnsi" w:eastAsiaTheme="majorEastAsia"/>
      <w:b/>
      <w:bCs/>
      <w:kern w:val="28"/>
      <w:sz w:val="32"/>
      <w:szCs w:val="32"/>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bCs/>
    </w:rPr>
  </w:style>
  <w:style w:type="character" w:styleId="19">
    <w:name w:val="Emphasis"/>
    <w:basedOn w:val="17"/>
    <w:autoRedefine/>
    <w:qFormat/>
    <w:uiPriority w:val="20"/>
    <w:rPr>
      <w:rFonts w:asciiTheme="minorHAnsi" w:hAnsiTheme="minorHAnsi"/>
      <w:b/>
      <w:i/>
      <w:iCs/>
    </w:rPr>
  </w:style>
  <w:style w:type="character" w:customStyle="1" w:styleId="20">
    <w:name w:val="标题 2 Char"/>
    <w:basedOn w:val="17"/>
    <w:link w:val="3"/>
    <w:autoRedefine/>
    <w:semiHidden/>
    <w:qFormat/>
    <w:uiPriority w:val="9"/>
    <w:rPr>
      <w:rFonts w:asciiTheme="majorHAnsi" w:hAnsiTheme="majorHAnsi" w:eastAsiaTheme="majorEastAsia"/>
      <w:b/>
      <w:bCs/>
      <w:i/>
      <w:iCs/>
      <w:sz w:val="28"/>
      <w:szCs w:val="28"/>
    </w:rPr>
  </w:style>
  <w:style w:type="character" w:customStyle="1" w:styleId="21">
    <w:name w:val="标题 1 Char"/>
    <w:basedOn w:val="17"/>
    <w:link w:val="2"/>
    <w:autoRedefine/>
    <w:qFormat/>
    <w:uiPriority w:val="9"/>
    <w:rPr>
      <w:rFonts w:asciiTheme="majorHAnsi" w:hAnsiTheme="majorHAnsi" w:eastAsiaTheme="majorEastAsia"/>
      <w:b/>
      <w:bCs/>
      <w:kern w:val="32"/>
      <w:sz w:val="32"/>
      <w:szCs w:val="32"/>
    </w:rPr>
  </w:style>
  <w:style w:type="character" w:customStyle="1" w:styleId="22">
    <w:name w:val="标题 3 Char"/>
    <w:basedOn w:val="17"/>
    <w:link w:val="4"/>
    <w:autoRedefine/>
    <w:semiHidden/>
    <w:qFormat/>
    <w:uiPriority w:val="9"/>
    <w:rPr>
      <w:rFonts w:asciiTheme="majorHAnsi" w:hAnsiTheme="majorHAnsi" w:eastAsiaTheme="majorEastAsia"/>
      <w:b/>
      <w:bCs/>
      <w:sz w:val="26"/>
      <w:szCs w:val="26"/>
    </w:rPr>
  </w:style>
  <w:style w:type="character" w:customStyle="1" w:styleId="23">
    <w:name w:val="标题 4 Char"/>
    <w:basedOn w:val="17"/>
    <w:link w:val="5"/>
    <w:autoRedefine/>
    <w:qFormat/>
    <w:uiPriority w:val="9"/>
    <w:rPr>
      <w:b/>
      <w:bCs/>
      <w:sz w:val="28"/>
      <w:szCs w:val="28"/>
    </w:rPr>
  </w:style>
  <w:style w:type="character" w:customStyle="1" w:styleId="24">
    <w:name w:val="标题 5 Char"/>
    <w:basedOn w:val="17"/>
    <w:link w:val="6"/>
    <w:autoRedefine/>
    <w:semiHidden/>
    <w:qFormat/>
    <w:uiPriority w:val="9"/>
    <w:rPr>
      <w:b/>
      <w:bCs/>
      <w:i/>
      <w:iCs/>
      <w:sz w:val="26"/>
      <w:szCs w:val="26"/>
    </w:rPr>
  </w:style>
  <w:style w:type="character" w:customStyle="1" w:styleId="25">
    <w:name w:val="标题 6 Char"/>
    <w:basedOn w:val="17"/>
    <w:link w:val="7"/>
    <w:autoRedefine/>
    <w:semiHidden/>
    <w:qFormat/>
    <w:uiPriority w:val="9"/>
    <w:rPr>
      <w:b/>
      <w:bCs/>
    </w:rPr>
  </w:style>
  <w:style w:type="character" w:customStyle="1" w:styleId="26">
    <w:name w:val="标题 7 Char"/>
    <w:basedOn w:val="17"/>
    <w:link w:val="8"/>
    <w:autoRedefine/>
    <w:semiHidden/>
    <w:qFormat/>
    <w:uiPriority w:val="9"/>
    <w:rPr>
      <w:sz w:val="24"/>
      <w:szCs w:val="24"/>
    </w:rPr>
  </w:style>
  <w:style w:type="character" w:customStyle="1" w:styleId="27">
    <w:name w:val="标题 8 Char"/>
    <w:basedOn w:val="17"/>
    <w:link w:val="9"/>
    <w:autoRedefine/>
    <w:semiHidden/>
    <w:qFormat/>
    <w:uiPriority w:val="9"/>
    <w:rPr>
      <w:i/>
      <w:iCs/>
      <w:sz w:val="24"/>
      <w:szCs w:val="24"/>
    </w:rPr>
  </w:style>
  <w:style w:type="character" w:customStyle="1" w:styleId="28">
    <w:name w:val="标题 9 Char"/>
    <w:basedOn w:val="17"/>
    <w:link w:val="10"/>
    <w:autoRedefine/>
    <w:semiHidden/>
    <w:qFormat/>
    <w:uiPriority w:val="9"/>
    <w:rPr>
      <w:rFonts w:asciiTheme="majorHAnsi" w:hAnsiTheme="majorHAnsi" w:eastAsiaTheme="majorEastAsia"/>
    </w:rPr>
  </w:style>
  <w:style w:type="character" w:customStyle="1" w:styleId="29">
    <w:name w:val="标题 Char"/>
    <w:basedOn w:val="17"/>
    <w:link w:val="14"/>
    <w:autoRedefine/>
    <w:qFormat/>
    <w:uiPriority w:val="10"/>
    <w:rPr>
      <w:rFonts w:asciiTheme="majorHAnsi" w:hAnsiTheme="majorHAnsi" w:eastAsiaTheme="majorEastAsia"/>
      <w:b/>
      <w:bCs/>
      <w:kern w:val="28"/>
      <w:sz w:val="32"/>
      <w:szCs w:val="32"/>
    </w:rPr>
  </w:style>
  <w:style w:type="character" w:customStyle="1" w:styleId="30">
    <w:name w:val="副标题 Char"/>
    <w:basedOn w:val="17"/>
    <w:link w:val="13"/>
    <w:autoRedefine/>
    <w:qFormat/>
    <w:uiPriority w:val="11"/>
    <w:rPr>
      <w:rFonts w:asciiTheme="majorHAnsi" w:hAnsiTheme="majorHAnsi" w:eastAsiaTheme="majorEastAsia"/>
      <w:sz w:val="24"/>
      <w:szCs w:val="24"/>
    </w:rPr>
  </w:style>
  <w:style w:type="paragraph" w:styleId="31">
    <w:name w:val="No Spacing"/>
    <w:basedOn w:val="1"/>
    <w:link w:val="32"/>
    <w:autoRedefine/>
    <w:qFormat/>
    <w:uiPriority w:val="1"/>
    <w:rPr>
      <w:szCs w:val="32"/>
    </w:rPr>
  </w:style>
  <w:style w:type="character" w:customStyle="1" w:styleId="32">
    <w:name w:val="无间隔 Char"/>
    <w:basedOn w:val="17"/>
    <w:link w:val="31"/>
    <w:autoRedefine/>
    <w:qFormat/>
    <w:uiPriority w:val="1"/>
    <w:rPr>
      <w:sz w:val="24"/>
      <w:szCs w:val="32"/>
    </w:rPr>
  </w:style>
  <w:style w:type="paragraph" w:styleId="33">
    <w:name w:val="List Paragraph"/>
    <w:basedOn w:val="1"/>
    <w:autoRedefine/>
    <w:qFormat/>
    <w:uiPriority w:val="34"/>
    <w:pPr>
      <w:ind w:left="720"/>
      <w:contextualSpacing/>
    </w:pPr>
  </w:style>
  <w:style w:type="paragraph" w:styleId="34">
    <w:name w:val="Quote"/>
    <w:basedOn w:val="1"/>
    <w:next w:val="1"/>
    <w:link w:val="35"/>
    <w:autoRedefine/>
    <w:qFormat/>
    <w:uiPriority w:val="29"/>
    <w:rPr>
      <w:i/>
    </w:rPr>
  </w:style>
  <w:style w:type="character" w:customStyle="1" w:styleId="35">
    <w:name w:val="引用 Char"/>
    <w:basedOn w:val="17"/>
    <w:link w:val="34"/>
    <w:autoRedefine/>
    <w:qFormat/>
    <w:uiPriority w:val="29"/>
    <w:rPr>
      <w:i/>
      <w:sz w:val="24"/>
      <w:szCs w:val="24"/>
    </w:rPr>
  </w:style>
  <w:style w:type="paragraph" w:styleId="36">
    <w:name w:val="Intense Quote"/>
    <w:basedOn w:val="1"/>
    <w:next w:val="1"/>
    <w:link w:val="37"/>
    <w:autoRedefine/>
    <w:qFormat/>
    <w:uiPriority w:val="30"/>
    <w:pPr>
      <w:ind w:left="720" w:right="720"/>
    </w:pPr>
    <w:rPr>
      <w:b/>
      <w:i/>
      <w:szCs w:val="22"/>
    </w:rPr>
  </w:style>
  <w:style w:type="character" w:customStyle="1" w:styleId="37">
    <w:name w:val="明显引用 Char"/>
    <w:basedOn w:val="17"/>
    <w:link w:val="36"/>
    <w:autoRedefine/>
    <w:qFormat/>
    <w:uiPriority w:val="30"/>
    <w:rPr>
      <w:b/>
      <w:i/>
      <w:sz w:val="24"/>
    </w:rPr>
  </w:style>
  <w:style w:type="character" w:customStyle="1" w:styleId="38">
    <w:name w:val="Subtle Emphasis"/>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39">
    <w:name w:val="Intense Emphasis"/>
    <w:basedOn w:val="17"/>
    <w:autoRedefine/>
    <w:qFormat/>
    <w:uiPriority w:val="21"/>
    <w:rPr>
      <w:b/>
      <w:i/>
      <w:sz w:val="24"/>
      <w:szCs w:val="24"/>
      <w:u w:val="single"/>
    </w:rPr>
  </w:style>
  <w:style w:type="character" w:customStyle="1" w:styleId="40">
    <w:name w:val="Subtle Reference"/>
    <w:basedOn w:val="17"/>
    <w:autoRedefine/>
    <w:qFormat/>
    <w:uiPriority w:val="31"/>
    <w:rPr>
      <w:sz w:val="24"/>
      <w:szCs w:val="24"/>
      <w:u w:val="single"/>
    </w:rPr>
  </w:style>
  <w:style w:type="character" w:customStyle="1" w:styleId="41">
    <w:name w:val="Intense Reference"/>
    <w:basedOn w:val="17"/>
    <w:autoRedefine/>
    <w:qFormat/>
    <w:uiPriority w:val="32"/>
    <w:rPr>
      <w:b/>
      <w:sz w:val="24"/>
      <w:u w:val="single"/>
    </w:rPr>
  </w:style>
  <w:style w:type="character" w:customStyle="1" w:styleId="42">
    <w:name w:val="Book Title"/>
    <w:basedOn w:val="17"/>
    <w:autoRedefine/>
    <w:qFormat/>
    <w:uiPriority w:val="33"/>
    <w:rPr>
      <w:rFonts w:asciiTheme="majorHAnsi" w:hAnsiTheme="majorHAnsi" w:eastAsiaTheme="majorEastAsia"/>
      <w:b/>
      <w:i/>
      <w:sz w:val="24"/>
      <w:szCs w:val="24"/>
    </w:rPr>
  </w:style>
  <w:style w:type="paragraph" w:customStyle="1" w:styleId="43">
    <w:name w:val="TOC Heading"/>
    <w:basedOn w:val="2"/>
    <w:next w:val="1"/>
    <w:autoRedefine/>
    <w:semiHidden/>
    <w:unhideWhenUsed/>
    <w:qFormat/>
    <w:uiPriority w:val="39"/>
    <w:pPr>
      <w:outlineLvl w:val="9"/>
    </w:pPr>
  </w:style>
  <w:style w:type="character" w:customStyle="1" w:styleId="44">
    <w:name w:val="页眉 Char"/>
    <w:basedOn w:val="17"/>
    <w:link w:val="12"/>
    <w:autoRedefine/>
    <w:semiHidden/>
    <w:qFormat/>
    <w:uiPriority w:val="99"/>
    <w:rPr>
      <w:sz w:val="18"/>
      <w:szCs w:val="18"/>
    </w:rPr>
  </w:style>
  <w:style w:type="character" w:customStyle="1" w:styleId="45">
    <w:name w:val="页脚 Char"/>
    <w:basedOn w:val="17"/>
    <w:link w:val="11"/>
    <w:autoRedefine/>
    <w:semiHidden/>
    <w:qFormat/>
    <w:uiPriority w:val="99"/>
    <w:rPr>
      <w:sz w:val="18"/>
      <w:szCs w:val="18"/>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paragraph" w:customStyle="1" w:styleId="47">
    <w:name w:val="样式2"/>
    <w:basedOn w:val="1"/>
    <w:autoRedefine/>
    <w:qFormat/>
    <w:uiPriority w:val="99"/>
    <w:pPr>
      <w:spacing w:line="700" w:lineRule="exact"/>
      <w:jc w:val="center"/>
    </w:pPr>
    <w:rPr>
      <w:rFonts w:ascii="Times New Roman" w:hAnsi="Times New Roman" w:eastAsia="方正小标宋_GBK"/>
      <w:sz w:val="4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8778</Words>
  <Characters>8897</Characters>
  <Lines>58</Lines>
  <Paragraphs>16</Paragraphs>
  <TotalTime>2901</TotalTime>
  <ScaleCrop>false</ScaleCrop>
  <LinksUpToDate>false</LinksUpToDate>
  <CharactersWithSpaces>9125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2024-05-06T09:05:00Z</dcterms:created>
  <dc:creator>Windows 用户</dc:creator>
  <cp:lastModifiedBy>Administrator</cp:lastModifiedBy>
  <cp:lastPrinted>2024-08-09T00:31:03Z</cp:lastPrinted>
  <dcterms:modified xsi:type="dcterms:W3CDTF">2024-08-09T00:32:45Z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D3FBBE5B154741C2B7E7C4B822ABA463_13</vt:lpwstr>
  </property>
</Properties>
</file>